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08183" w14:textId="77777777" w:rsidR="00D51240" w:rsidRPr="00CC1276" w:rsidRDefault="00D51240" w:rsidP="00D51240">
      <w:pPr>
        <w:widowControl w:val="0"/>
        <w:autoSpaceDE w:val="0"/>
        <w:autoSpaceDN w:val="0"/>
        <w:spacing w:before="1" w:after="0" w:line="240" w:lineRule="auto"/>
        <w:ind w:left="300"/>
        <w:jc w:val="center"/>
        <w:outlineLvl w:val="0"/>
        <w:rPr>
          <w:rFonts w:eastAsia="Arial" w:cs="Arial"/>
          <w:b/>
          <w:bCs/>
          <w:kern w:val="0"/>
          <w:szCs w:val="24"/>
          <w:lang w:val="mn-MN"/>
          <w14:ligatures w14:val="none"/>
        </w:rPr>
      </w:pPr>
    </w:p>
    <w:p w14:paraId="0E45628C" w14:textId="77777777" w:rsidR="00D51240" w:rsidRPr="00CC1276" w:rsidRDefault="00D51240" w:rsidP="00D51240">
      <w:pPr>
        <w:widowControl w:val="0"/>
        <w:autoSpaceDE w:val="0"/>
        <w:autoSpaceDN w:val="0"/>
        <w:spacing w:before="1" w:after="0" w:line="240" w:lineRule="auto"/>
        <w:ind w:left="300"/>
        <w:jc w:val="center"/>
        <w:outlineLvl w:val="0"/>
        <w:rPr>
          <w:rFonts w:eastAsia="Arial" w:cs="Arial"/>
          <w:b/>
          <w:bCs/>
          <w:noProof/>
          <w:kern w:val="0"/>
          <w:szCs w:val="24"/>
          <w:lang w:val="mn-MN"/>
          <w14:ligatures w14:val="none"/>
        </w:rPr>
      </w:pPr>
      <w:r w:rsidRPr="00CC1276">
        <w:rPr>
          <w:rFonts w:eastAsia="Arial" w:cs="Arial"/>
          <w:b/>
          <w:bCs/>
          <w:noProof/>
          <w:kern w:val="0"/>
          <w:szCs w:val="24"/>
          <w:lang w:val="mn-MN"/>
          <w14:ligatures w14:val="none"/>
        </w:rPr>
        <w:t>ШҮҮХИЙН ШИЙДВЭРИЙН ХУРААНГУЙ</w:t>
      </w:r>
    </w:p>
    <w:p w14:paraId="22072CE0" w14:textId="6E6385E9" w:rsidR="00CC1276" w:rsidRDefault="00D51240" w:rsidP="0052636B">
      <w:pPr>
        <w:spacing w:before="197" w:after="0" w:line="240" w:lineRule="auto"/>
        <w:ind w:left="2869" w:right="2689"/>
        <w:jc w:val="center"/>
        <w:rPr>
          <w:rFonts w:eastAsia="Arial" w:cs="Arial"/>
          <w:b/>
          <w:bCs/>
          <w:noProof/>
          <w:color w:val="0070C0"/>
          <w:kern w:val="0"/>
          <w:szCs w:val="24"/>
          <w:lang w:val="mn-MN" w:eastAsia="ja-JP"/>
          <w14:ligatures w14:val="none"/>
        </w:rPr>
      </w:pPr>
      <w:r w:rsidRPr="00CC1276">
        <w:rPr>
          <w:rFonts w:eastAsia="Calibri" w:cs="Arial"/>
          <w:b/>
          <w:noProof/>
          <w:kern w:val="0"/>
          <w:lang w:val="mn-MN"/>
          <w14:ligatures w14:val="none"/>
        </w:rPr>
        <w:t>(Захиргааны</w:t>
      </w:r>
      <w:r w:rsidRPr="00CC1276">
        <w:rPr>
          <w:rFonts w:eastAsia="Calibri" w:cs="Arial"/>
          <w:b/>
          <w:noProof/>
          <w:spacing w:val="-4"/>
          <w:kern w:val="0"/>
          <w:lang w:val="mn-MN"/>
          <w14:ligatures w14:val="none"/>
        </w:rPr>
        <w:t xml:space="preserve"> </w:t>
      </w:r>
      <w:r w:rsidRPr="00CC1276">
        <w:rPr>
          <w:rFonts w:eastAsia="Calibri" w:cs="Arial"/>
          <w:b/>
          <w:noProof/>
          <w:kern w:val="0"/>
          <w:lang w:val="mn-MN"/>
          <w14:ligatures w14:val="none"/>
        </w:rPr>
        <w:t>эрх</w:t>
      </w:r>
      <w:r w:rsidRPr="00CC1276">
        <w:rPr>
          <w:rFonts w:eastAsia="Calibri" w:cs="Arial"/>
          <w:b/>
          <w:noProof/>
          <w:spacing w:val="-2"/>
          <w:kern w:val="0"/>
          <w:lang w:val="mn-MN"/>
          <w14:ligatures w14:val="none"/>
        </w:rPr>
        <w:t xml:space="preserve"> </w:t>
      </w:r>
      <w:r w:rsidRPr="00CC1276">
        <w:rPr>
          <w:rFonts w:eastAsia="Calibri" w:cs="Arial"/>
          <w:b/>
          <w:noProof/>
          <w:kern w:val="0"/>
          <w:lang w:val="mn-MN"/>
          <w14:ligatures w14:val="none"/>
        </w:rPr>
        <w:t>зүйн</w:t>
      </w:r>
      <w:r w:rsidRPr="00CC1276">
        <w:rPr>
          <w:rFonts w:eastAsia="Calibri" w:cs="Arial"/>
          <w:b/>
          <w:noProof/>
          <w:spacing w:val="-3"/>
          <w:kern w:val="0"/>
          <w:lang w:val="mn-MN"/>
          <w14:ligatures w14:val="none"/>
        </w:rPr>
        <w:t xml:space="preserve"> </w:t>
      </w:r>
      <w:r w:rsidRPr="00CC1276">
        <w:rPr>
          <w:rFonts w:eastAsia="Calibri" w:cs="Arial"/>
          <w:b/>
          <w:noProof/>
          <w:kern w:val="0"/>
          <w:lang w:val="mn-MN"/>
          <w14:ligatures w14:val="none"/>
        </w:rPr>
        <w:t>маргаан)</w:t>
      </w:r>
      <w:r w:rsidRPr="00CC1276">
        <w:rPr>
          <w:rFonts w:eastAsia="Calibri" w:cs="Arial"/>
          <w:b/>
          <w:noProof/>
          <w:kern w:val="0"/>
          <w:sz w:val="22"/>
          <w:vertAlign w:val="superscript"/>
          <w:lang w:val="mn-MN"/>
          <w14:ligatures w14:val="none"/>
        </w:rPr>
        <w:footnoteReference w:id="1"/>
      </w:r>
    </w:p>
    <w:p w14:paraId="03C4087C" w14:textId="28E987B0" w:rsidR="00D51240" w:rsidRPr="00CC1276" w:rsidRDefault="008B6EFA" w:rsidP="00D51240">
      <w:pPr>
        <w:widowControl w:val="0"/>
        <w:autoSpaceDE w:val="0"/>
        <w:autoSpaceDN w:val="0"/>
        <w:spacing w:before="202" w:after="240" w:line="240" w:lineRule="auto"/>
        <w:ind w:right="389"/>
        <w:jc w:val="center"/>
        <w:outlineLvl w:val="0"/>
        <w:rPr>
          <w:rFonts w:eastAsia="Arial" w:cs="Arial"/>
          <w:b/>
          <w:bCs/>
          <w:noProof/>
          <w:color w:val="0070C0"/>
          <w:kern w:val="0"/>
          <w:szCs w:val="24"/>
          <w:lang w:val="mn-MN" w:eastAsia="ja-JP"/>
          <w14:ligatures w14:val="none"/>
        </w:rPr>
      </w:pPr>
      <w:r w:rsidRPr="00CC1276">
        <w:rPr>
          <w:rFonts w:eastAsia="Arial" w:cs="Arial"/>
          <w:b/>
          <w:bCs/>
          <w:noProof/>
          <w:color w:val="0070C0"/>
          <w:kern w:val="0"/>
          <w:szCs w:val="24"/>
          <w:lang w:val="mn-MN" w:eastAsia="ja-JP"/>
          <w14:ligatures w14:val="none"/>
        </w:rPr>
        <w:t>ТАТВАРЫГ БУЦААН ОЛГОХОД ХУУЛЬД НАРИЙВЧЛАН ЗААСАН ХӨӨН ХЭЛЭЛЦЭХ ХУГАЦАА</w:t>
      </w:r>
      <w:r w:rsidR="00375176" w:rsidRPr="00CC1276">
        <w:rPr>
          <w:rFonts w:eastAsia="Arial" w:cs="Arial"/>
          <w:b/>
          <w:bCs/>
          <w:noProof/>
          <w:color w:val="0070C0"/>
          <w:kern w:val="0"/>
          <w:szCs w:val="24"/>
          <w:lang w:val="mn-MN" w:eastAsia="ja-JP"/>
          <w14:ligatures w14:val="none"/>
        </w:rPr>
        <w:t xml:space="preserve"> ҮЙЛЧИЛНЭ</w:t>
      </w:r>
    </w:p>
    <w:p w14:paraId="12863120" w14:textId="77777777" w:rsidR="00D51240" w:rsidRPr="00CC1276" w:rsidRDefault="00D51240" w:rsidP="00D51240">
      <w:pPr>
        <w:spacing w:before="159" w:after="0" w:line="240" w:lineRule="auto"/>
        <w:ind w:right="114"/>
        <w:jc w:val="both"/>
        <w:rPr>
          <w:rFonts w:eastAsia="Calibri" w:cs="Arial"/>
          <w:i/>
          <w:noProof/>
          <w:kern w:val="0"/>
          <w:lang w:val="mn-MN"/>
          <w14:ligatures w14:val="none"/>
        </w:rPr>
      </w:pPr>
      <w:r w:rsidRPr="00CC1276">
        <w:rPr>
          <w:rFonts w:eastAsia="Calibri" w:cs="Arial"/>
          <w:b/>
          <w:noProof/>
          <w:kern w:val="0"/>
          <w:lang w:val="mn-MN"/>
          <w14:ligatures w14:val="none"/>
        </w:rPr>
        <w:t xml:space="preserve">САНАМЖ: </w:t>
      </w:r>
      <w:r w:rsidRPr="00CC1276">
        <w:rPr>
          <w:rFonts w:eastAsia="Calibri" w:cs="Arial"/>
          <w:i/>
          <w:noProof/>
          <w:kern w:val="0"/>
          <w:lang w:val="mn-MN"/>
          <w14:ligatures w14:val="none"/>
        </w:rPr>
        <w:t>Энэхүү хураангуй нь шүүхийн шийдвэрийг орлохгүй ба хууль хэрэглээний</w:t>
      </w:r>
      <w:r w:rsidRPr="00CC1276">
        <w:rPr>
          <w:rFonts w:eastAsia="Calibri" w:cs="Arial"/>
          <w:i/>
          <w:noProof/>
          <w:spacing w:val="1"/>
          <w:kern w:val="0"/>
          <w:lang w:val="mn-MN"/>
          <w14:ligatures w14:val="none"/>
        </w:rPr>
        <w:t xml:space="preserve"> </w:t>
      </w:r>
      <w:r w:rsidRPr="00CC1276">
        <w:rPr>
          <w:rFonts w:eastAsia="Calibri" w:cs="Arial"/>
          <w:i/>
          <w:noProof/>
          <w:kern w:val="0"/>
          <w:lang w:val="mn-MN"/>
          <w14:ligatures w14:val="none"/>
        </w:rPr>
        <w:t>нэгдмэл байдлыг</w:t>
      </w:r>
      <w:r w:rsidRPr="00CC1276">
        <w:rPr>
          <w:rFonts w:eastAsia="Calibri" w:cs="Arial"/>
          <w:i/>
          <w:noProof/>
          <w:spacing w:val="1"/>
          <w:kern w:val="0"/>
          <w:lang w:val="mn-MN"/>
          <w14:ligatures w14:val="none"/>
        </w:rPr>
        <w:t xml:space="preserve"> </w:t>
      </w:r>
      <w:r w:rsidRPr="00CC1276">
        <w:rPr>
          <w:rFonts w:eastAsia="Calibri" w:cs="Arial"/>
          <w:i/>
          <w:noProof/>
          <w:kern w:val="0"/>
          <w:lang w:val="mn-MN"/>
          <w14:ligatures w14:val="none"/>
        </w:rPr>
        <w:t>тогтооход</w:t>
      </w:r>
      <w:r w:rsidRPr="00CC1276">
        <w:rPr>
          <w:rFonts w:eastAsia="Calibri" w:cs="Arial"/>
          <w:i/>
          <w:noProof/>
          <w:spacing w:val="1"/>
          <w:kern w:val="0"/>
          <w:lang w:val="mn-MN"/>
          <w14:ligatures w14:val="none"/>
        </w:rPr>
        <w:t xml:space="preserve"> </w:t>
      </w:r>
      <w:r w:rsidRPr="00CC1276">
        <w:rPr>
          <w:rFonts w:eastAsia="Calibri" w:cs="Arial"/>
          <w:i/>
          <w:noProof/>
          <w:kern w:val="0"/>
          <w:lang w:val="mn-MN"/>
          <w14:ligatures w14:val="none"/>
        </w:rPr>
        <w:t>дэмжлэг</w:t>
      </w:r>
      <w:r w:rsidRPr="00CC1276">
        <w:rPr>
          <w:rFonts w:eastAsia="Calibri" w:cs="Arial"/>
          <w:i/>
          <w:noProof/>
          <w:spacing w:val="1"/>
          <w:kern w:val="0"/>
          <w:lang w:val="mn-MN"/>
          <w14:ligatures w14:val="none"/>
        </w:rPr>
        <w:t xml:space="preserve"> </w:t>
      </w:r>
      <w:r w:rsidRPr="00CC1276">
        <w:rPr>
          <w:rFonts w:eastAsia="Calibri" w:cs="Arial"/>
          <w:i/>
          <w:noProof/>
          <w:kern w:val="0"/>
          <w:lang w:val="mn-MN"/>
          <w14:ligatures w14:val="none"/>
        </w:rPr>
        <w:t>үзүүлэх,</w:t>
      </w:r>
      <w:r w:rsidRPr="00CC1276">
        <w:rPr>
          <w:rFonts w:eastAsia="Calibri" w:cs="Arial"/>
          <w:i/>
          <w:noProof/>
          <w:spacing w:val="1"/>
          <w:kern w:val="0"/>
          <w:lang w:val="mn-MN"/>
          <w14:ligatures w14:val="none"/>
        </w:rPr>
        <w:t xml:space="preserve"> </w:t>
      </w:r>
      <w:r w:rsidRPr="00CC1276">
        <w:rPr>
          <w:rFonts w:eastAsia="Calibri" w:cs="Arial"/>
          <w:i/>
          <w:noProof/>
          <w:kern w:val="0"/>
          <w:lang w:val="mn-MN"/>
          <w14:ligatures w14:val="none"/>
        </w:rPr>
        <w:t>шүүхийн</w:t>
      </w:r>
      <w:r w:rsidRPr="00CC1276">
        <w:rPr>
          <w:rFonts w:eastAsia="Calibri" w:cs="Arial"/>
          <w:i/>
          <w:noProof/>
          <w:spacing w:val="1"/>
          <w:kern w:val="0"/>
          <w:lang w:val="mn-MN"/>
          <w14:ligatures w14:val="none"/>
        </w:rPr>
        <w:t xml:space="preserve"> </w:t>
      </w:r>
      <w:r w:rsidRPr="00CC1276">
        <w:rPr>
          <w:rFonts w:eastAsia="Calibri" w:cs="Arial"/>
          <w:i/>
          <w:noProof/>
          <w:kern w:val="0"/>
          <w:lang w:val="mn-MN"/>
          <w14:ligatures w14:val="none"/>
        </w:rPr>
        <w:t>шийдвэрийн</w:t>
      </w:r>
      <w:r w:rsidRPr="00CC1276">
        <w:rPr>
          <w:rFonts w:eastAsia="Calibri" w:cs="Arial"/>
          <w:i/>
          <w:noProof/>
          <w:spacing w:val="1"/>
          <w:kern w:val="0"/>
          <w:lang w:val="mn-MN"/>
          <w14:ligatures w14:val="none"/>
        </w:rPr>
        <w:t xml:space="preserve"> </w:t>
      </w:r>
      <w:r w:rsidRPr="00CC1276">
        <w:rPr>
          <w:rFonts w:eastAsia="Calibri" w:cs="Arial"/>
          <w:i/>
          <w:noProof/>
          <w:kern w:val="0"/>
          <w:lang w:val="mn-MN"/>
          <w14:ligatures w14:val="none"/>
        </w:rPr>
        <w:t>үндэслэлийг</w:t>
      </w:r>
      <w:r w:rsidRPr="00CC1276">
        <w:rPr>
          <w:rFonts w:eastAsia="Calibri" w:cs="Arial"/>
          <w:i/>
          <w:noProof/>
          <w:spacing w:val="1"/>
          <w:kern w:val="0"/>
          <w:lang w:val="mn-MN"/>
          <w14:ligatures w14:val="none"/>
        </w:rPr>
        <w:t xml:space="preserve"> </w:t>
      </w:r>
      <w:r w:rsidRPr="00CC1276">
        <w:rPr>
          <w:rFonts w:eastAsia="Calibri" w:cs="Arial"/>
          <w:i/>
          <w:noProof/>
          <w:kern w:val="0"/>
          <w:lang w:val="mn-MN"/>
          <w14:ligatures w14:val="none"/>
        </w:rPr>
        <w:t>сурталчлах</w:t>
      </w:r>
      <w:r w:rsidRPr="00CC1276">
        <w:rPr>
          <w:rFonts w:eastAsia="Calibri" w:cs="Arial"/>
          <w:i/>
          <w:noProof/>
          <w:spacing w:val="1"/>
          <w:kern w:val="0"/>
          <w:lang w:val="mn-MN"/>
          <w14:ligatures w14:val="none"/>
        </w:rPr>
        <w:t xml:space="preserve"> </w:t>
      </w:r>
      <w:r w:rsidRPr="00CC1276">
        <w:rPr>
          <w:rFonts w:eastAsia="Calibri" w:cs="Arial"/>
          <w:i/>
          <w:noProof/>
          <w:kern w:val="0"/>
          <w:lang w:val="mn-MN"/>
          <w14:ligatures w14:val="none"/>
        </w:rPr>
        <w:t>болон</w:t>
      </w:r>
      <w:r w:rsidRPr="00CC1276">
        <w:rPr>
          <w:rFonts w:eastAsia="Calibri" w:cs="Arial"/>
          <w:i/>
          <w:noProof/>
          <w:spacing w:val="1"/>
          <w:kern w:val="0"/>
          <w:lang w:val="mn-MN"/>
          <w14:ligatures w14:val="none"/>
        </w:rPr>
        <w:t xml:space="preserve"> </w:t>
      </w:r>
      <w:r w:rsidRPr="00CC1276">
        <w:rPr>
          <w:rFonts w:eastAsia="Calibri" w:cs="Arial"/>
          <w:i/>
          <w:noProof/>
          <w:kern w:val="0"/>
          <w:lang w:val="mn-MN"/>
          <w14:ligatures w14:val="none"/>
        </w:rPr>
        <w:t>иргэд,</w:t>
      </w:r>
      <w:r w:rsidRPr="00CC1276">
        <w:rPr>
          <w:rFonts w:eastAsia="Calibri" w:cs="Arial"/>
          <w:i/>
          <w:noProof/>
          <w:spacing w:val="1"/>
          <w:kern w:val="0"/>
          <w:lang w:val="mn-MN"/>
          <w14:ligatures w14:val="none"/>
        </w:rPr>
        <w:t xml:space="preserve"> </w:t>
      </w:r>
      <w:r w:rsidRPr="00CC1276">
        <w:rPr>
          <w:rFonts w:eastAsia="Calibri" w:cs="Arial"/>
          <w:i/>
          <w:noProof/>
          <w:kern w:val="0"/>
          <w:lang w:val="mn-MN"/>
          <w14:ligatures w14:val="none"/>
        </w:rPr>
        <w:t>олон</w:t>
      </w:r>
      <w:r w:rsidRPr="00CC1276">
        <w:rPr>
          <w:rFonts w:eastAsia="Calibri" w:cs="Arial"/>
          <w:i/>
          <w:noProof/>
          <w:spacing w:val="1"/>
          <w:kern w:val="0"/>
          <w:lang w:val="mn-MN"/>
          <w14:ligatures w14:val="none"/>
        </w:rPr>
        <w:t xml:space="preserve"> </w:t>
      </w:r>
      <w:r w:rsidRPr="00CC1276">
        <w:rPr>
          <w:rFonts w:eastAsia="Calibri" w:cs="Arial"/>
          <w:i/>
          <w:noProof/>
          <w:kern w:val="0"/>
          <w:lang w:val="mn-MN"/>
          <w14:ligatures w14:val="none"/>
        </w:rPr>
        <w:t>нийтийн</w:t>
      </w:r>
      <w:r w:rsidRPr="00CC1276">
        <w:rPr>
          <w:rFonts w:eastAsia="Calibri" w:cs="Arial"/>
          <w:i/>
          <w:noProof/>
          <w:spacing w:val="1"/>
          <w:kern w:val="0"/>
          <w:lang w:val="mn-MN"/>
          <w14:ligatures w14:val="none"/>
        </w:rPr>
        <w:t xml:space="preserve"> </w:t>
      </w:r>
      <w:r w:rsidRPr="00CC1276">
        <w:rPr>
          <w:rFonts w:eastAsia="Calibri" w:cs="Arial"/>
          <w:i/>
          <w:noProof/>
          <w:kern w:val="0"/>
          <w:lang w:val="mn-MN"/>
          <w14:ligatures w14:val="none"/>
        </w:rPr>
        <w:t>эрх</w:t>
      </w:r>
      <w:r w:rsidRPr="00CC1276">
        <w:rPr>
          <w:rFonts w:eastAsia="Calibri" w:cs="Arial"/>
          <w:i/>
          <w:noProof/>
          <w:spacing w:val="1"/>
          <w:kern w:val="0"/>
          <w:lang w:val="mn-MN"/>
          <w14:ligatures w14:val="none"/>
        </w:rPr>
        <w:t xml:space="preserve"> </w:t>
      </w:r>
      <w:r w:rsidRPr="00CC1276">
        <w:rPr>
          <w:rFonts w:eastAsia="Calibri" w:cs="Arial"/>
          <w:i/>
          <w:noProof/>
          <w:kern w:val="0"/>
          <w:lang w:val="mn-MN"/>
          <w14:ligatures w14:val="none"/>
        </w:rPr>
        <w:t>зүйн</w:t>
      </w:r>
      <w:r w:rsidRPr="00CC1276">
        <w:rPr>
          <w:rFonts w:eastAsia="Calibri" w:cs="Arial"/>
          <w:i/>
          <w:noProof/>
          <w:spacing w:val="1"/>
          <w:kern w:val="0"/>
          <w:lang w:val="mn-MN"/>
          <w14:ligatures w14:val="none"/>
        </w:rPr>
        <w:t xml:space="preserve"> </w:t>
      </w:r>
      <w:r w:rsidRPr="00CC1276">
        <w:rPr>
          <w:rFonts w:eastAsia="Calibri" w:cs="Arial"/>
          <w:i/>
          <w:noProof/>
          <w:kern w:val="0"/>
          <w:lang w:val="mn-MN"/>
          <w14:ligatures w14:val="none"/>
        </w:rPr>
        <w:t>мэдлэгт</w:t>
      </w:r>
      <w:r w:rsidRPr="00CC1276">
        <w:rPr>
          <w:rFonts w:eastAsia="Calibri" w:cs="Arial"/>
          <w:i/>
          <w:noProof/>
          <w:spacing w:val="1"/>
          <w:kern w:val="0"/>
          <w:lang w:val="mn-MN"/>
          <w14:ligatures w14:val="none"/>
        </w:rPr>
        <w:t xml:space="preserve"> </w:t>
      </w:r>
      <w:r w:rsidRPr="00CC1276">
        <w:rPr>
          <w:rFonts w:eastAsia="Calibri" w:cs="Arial"/>
          <w:i/>
          <w:noProof/>
          <w:kern w:val="0"/>
          <w:lang w:val="mn-MN"/>
          <w14:ligatures w14:val="none"/>
        </w:rPr>
        <w:t>зориулсан</w:t>
      </w:r>
      <w:r w:rsidRPr="00CC1276">
        <w:rPr>
          <w:rFonts w:eastAsia="Calibri" w:cs="Arial"/>
          <w:i/>
          <w:noProof/>
          <w:spacing w:val="1"/>
          <w:kern w:val="0"/>
          <w:lang w:val="mn-MN"/>
          <w14:ligatures w14:val="none"/>
        </w:rPr>
        <w:t xml:space="preserve"> </w:t>
      </w:r>
      <w:r w:rsidRPr="00CC1276">
        <w:rPr>
          <w:rFonts w:eastAsia="Calibri" w:cs="Arial"/>
          <w:i/>
          <w:noProof/>
          <w:kern w:val="0"/>
          <w:lang w:val="mn-MN"/>
          <w14:ligatures w14:val="none"/>
        </w:rPr>
        <w:t>бөгөөд</w:t>
      </w:r>
      <w:r w:rsidRPr="00CC1276">
        <w:rPr>
          <w:rFonts w:eastAsia="Calibri" w:cs="Arial"/>
          <w:i/>
          <w:noProof/>
          <w:spacing w:val="1"/>
          <w:kern w:val="0"/>
          <w:lang w:val="mn-MN"/>
          <w14:ligatures w14:val="none"/>
        </w:rPr>
        <w:t xml:space="preserve"> </w:t>
      </w:r>
      <w:r w:rsidRPr="00CC1276">
        <w:rPr>
          <w:rFonts w:eastAsia="Calibri" w:cs="Arial"/>
          <w:i/>
          <w:noProof/>
          <w:kern w:val="0"/>
          <w:lang w:val="mn-MN"/>
          <w14:ligatures w14:val="none"/>
        </w:rPr>
        <w:t>хураангуйд</w:t>
      </w:r>
      <w:r w:rsidRPr="00CC1276">
        <w:rPr>
          <w:rFonts w:eastAsia="Calibri" w:cs="Arial"/>
          <w:i/>
          <w:noProof/>
          <w:spacing w:val="-2"/>
          <w:kern w:val="0"/>
          <w:lang w:val="mn-MN"/>
          <w14:ligatures w14:val="none"/>
        </w:rPr>
        <w:t xml:space="preserve"> </w:t>
      </w:r>
      <w:r w:rsidRPr="00CC1276">
        <w:rPr>
          <w:rFonts w:eastAsia="Calibri" w:cs="Arial"/>
          <w:i/>
          <w:noProof/>
          <w:kern w:val="0"/>
          <w:lang w:val="mn-MN"/>
          <w14:ligatures w14:val="none"/>
        </w:rPr>
        <w:t>ашигласан</w:t>
      </w:r>
      <w:r w:rsidRPr="00CC1276">
        <w:rPr>
          <w:rFonts w:eastAsia="Calibri" w:cs="Arial"/>
          <w:i/>
          <w:noProof/>
          <w:spacing w:val="-3"/>
          <w:kern w:val="0"/>
          <w:lang w:val="mn-MN"/>
          <w14:ligatures w14:val="none"/>
        </w:rPr>
        <w:t xml:space="preserve"> </w:t>
      </w:r>
      <w:r w:rsidRPr="00CC1276">
        <w:rPr>
          <w:rFonts w:eastAsia="Calibri" w:cs="Arial"/>
          <w:i/>
          <w:noProof/>
          <w:kern w:val="0"/>
          <w:lang w:val="mn-MN"/>
          <w14:ligatures w14:val="none"/>
        </w:rPr>
        <w:t>шийдвэр</w:t>
      </w:r>
      <w:r w:rsidRPr="00CC1276">
        <w:rPr>
          <w:rFonts w:eastAsia="Calibri" w:cs="Arial"/>
          <w:i/>
          <w:noProof/>
          <w:spacing w:val="-2"/>
          <w:kern w:val="0"/>
          <w:lang w:val="mn-MN"/>
          <w14:ligatures w14:val="none"/>
        </w:rPr>
        <w:t xml:space="preserve"> </w:t>
      </w:r>
      <w:r w:rsidRPr="00CC1276">
        <w:rPr>
          <w:rFonts w:eastAsia="Calibri" w:cs="Arial"/>
          <w:i/>
          <w:noProof/>
          <w:kern w:val="0"/>
          <w:lang w:val="mn-MN"/>
          <w14:ligatures w14:val="none"/>
        </w:rPr>
        <w:t>нь</w:t>
      </w:r>
      <w:r w:rsidRPr="00CC1276">
        <w:rPr>
          <w:rFonts w:eastAsia="Calibri" w:cs="Arial"/>
          <w:i/>
          <w:noProof/>
          <w:spacing w:val="-1"/>
          <w:kern w:val="0"/>
          <w:lang w:val="mn-MN"/>
          <w14:ligatures w14:val="none"/>
        </w:rPr>
        <w:t xml:space="preserve"> </w:t>
      </w:r>
      <w:r w:rsidRPr="00CC1276">
        <w:rPr>
          <w:rFonts w:eastAsia="Calibri" w:cs="Arial"/>
          <w:i/>
          <w:noProof/>
          <w:kern w:val="0"/>
          <w:lang w:val="mn-MN"/>
          <w14:ligatures w14:val="none"/>
        </w:rPr>
        <w:t>хяналтын</w:t>
      </w:r>
      <w:r w:rsidRPr="00CC1276">
        <w:rPr>
          <w:rFonts w:eastAsia="Calibri" w:cs="Arial"/>
          <w:i/>
          <w:noProof/>
          <w:spacing w:val="-3"/>
          <w:kern w:val="0"/>
          <w:lang w:val="mn-MN"/>
          <w14:ligatures w14:val="none"/>
        </w:rPr>
        <w:t xml:space="preserve"> </w:t>
      </w:r>
      <w:r w:rsidRPr="00CC1276">
        <w:rPr>
          <w:rFonts w:eastAsia="Calibri" w:cs="Arial"/>
          <w:i/>
          <w:noProof/>
          <w:kern w:val="0"/>
          <w:lang w:val="mn-MN"/>
          <w14:ligatures w14:val="none"/>
        </w:rPr>
        <w:t>шатны</w:t>
      </w:r>
      <w:r w:rsidRPr="00CC1276">
        <w:rPr>
          <w:rFonts w:eastAsia="Calibri" w:cs="Arial"/>
          <w:i/>
          <w:noProof/>
          <w:spacing w:val="-2"/>
          <w:kern w:val="0"/>
          <w:lang w:val="mn-MN"/>
          <w14:ligatures w14:val="none"/>
        </w:rPr>
        <w:t xml:space="preserve"> </w:t>
      </w:r>
      <w:r w:rsidRPr="00CC1276">
        <w:rPr>
          <w:rFonts w:eastAsia="Calibri" w:cs="Arial"/>
          <w:i/>
          <w:noProof/>
          <w:kern w:val="0"/>
          <w:lang w:val="mn-MN"/>
          <w14:ligatures w14:val="none"/>
        </w:rPr>
        <w:t>шүүхийн</w:t>
      </w:r>
      <w:r w:rsidRPr="00CC1276">
        <w:rPr>
          <w:rFonts w:eastAsia="Calibri" w:cs="Arial"/>
          <w:i/>
          <w:noProof/>
          <w:spacing w:val="-5"/>
          <w:kern w:val="0"/>
          <w:lang w:val="mn-MN"/>
          <w14:ligatures w14:val="none"/>
        </w:rPr>
        <w:t xml:space="preserve"> </w:t>
      </w:r>
      <w:r w:rsidRPr="00CC1276">
        <w:rPr>
          <w:rFonts w:eastAsia="Calibri" w:cs="Arial"/>
          <w:i/>
          <w:noProof/>
          <w:kern w:val="0"/>
          <w:lang w:val="mn-MN"/>
          <w14:ligatures w14:val="none"/>
        </w:rPr>
        <w:t>тогтоол</w:t>
      </w:r>
      <w:r w:rsidRPr="00CC1276">
        <w:rPr>
          <w:rFonts w:eastAsia="Calibri" w:cs="Arial"/>
          <w:i/>
          <w:noProof/>
          <w:spacing w:val="-2"/>
          <w:kern w:val="0"/>
          <w:lang w:val="mn-MN"/>
          <w14:ligatures w14:val="none"/>
        </w:rPr>
        <w:t xml:space="preserve"> </w:t>
      </w:r>
      <w:r w:rsidRPr="00CC1276">
        <w:rPr>
          <w:rFonts w:eastAsia="Calibri" w:cs="Arial"/>
          <w:i/>
          <w:noProof/>
          <w:kern w:val="0"/>
          <w:lang w:val="mn-MN"/>
          <w14:ligatures w14:val="none"/>
        </w:rPr>
        <w:t>болно.</w:t>
      </w:r>
    </w:p>
    <w:p w14:paraId="41175551" w14:textId="3375BA45" w:rsidR="00D51240" w:rsidRPr="00CC1276" w:rsidRDefault="00D51240" w:rsidP="00D51240">
      <w:pPr>
        <w:spacing w:after="0" w:line="240" w:lineRule="auto"/>
        <w:jc w:val="both"/>
        <w:rPr>
          <w:rFonts w:eastAsia="Calibri" w:cs="Arial"/>
          <w:noProof/>
          <w:kern w:val="0"/>
          <w:lang w:val="mn-MN"/>
          <w14:ligatures w14:val="none"/>
        </w:rPr>
      </w:pPr>
      <w:r w:rsidRPr="00CC1276">
        <w:rPr>
          <w:rFonts w:eastAsia="Calibri" w:cs="Arial"/>
          <w:b/>
          <w:noProof/>
          <w:kern w:val="0"/>
          <w:lang w:val="mn-MN"/>
          <w14:ligatures w14:val="none"/>
        </w:rPr>
        <w:t>Шүүхийн</w:t>
      </w:r>
      <w:r w:rsidRPr="00CC1276">
        <w:rPr>
          <w:rFonts w:eastAsia="Calibri" w:cs="Arial"/>
          <w:b/>
          <w:noProof/>
          <w:spacing w:val="-4"/>
          <w:kern w:val="0"/>
          <w:lang w:val="mn-MN"/>
          <w14:ligatures w14:val="none"/>
        </w:rPr>
        <w:t xml:space="preserve"> </w:t>
      </w:r>
      <w:r w:rsidRPr="00CC1276">
        <w:rPr>
          <w:rFonts w:eastAsia="Calibri" w:cs="Arial"/>
          <w:b/>
          <w:noProof/>
          <w:kern w:val="0"/>
          <w:lang w:val="mn-MN"/>
          <w14:ligatures w14:val="none"/>
        </w:rPr>
        <w:t>шийдвэрийн</w:t>
      </w:r>
      <w:r w:rsidRPr="00CC1276">
        <w:rPr>
          <w:rFonts w:eastAsia="Calibri" w:cs="Arial"/>
          <w:b/>
          <w:noProof/>
          <w:spacing w:val="-6"/>
          <w:kern w:val="0"/>
          <w:lang w:val="mn-MN"/>
          <w14:ligatures w14:val="none"/>
        </w:rPr>
        <w:t xml:space="preserve"> </w:t>
      </w:r>
      <w:r w:rsidRPr="00CC1276">
        <w:rPr>
          <w:rFonts w:eastAsia="Calibri" w:cs="Arial"/>
          <w:b/>
          <w:noProof/>
          <w:kern w:val="0"/>
          <w:lang w:val="mn-MN"/>
          <w14:ligatures w14:val="none"/>
        </w:rPr>
        <w:t>дугаар:</w:t>
      </w:r>
      <w:r w:rsidRPr="00CC1276">
        <w:rPr>
          <w:rFonts w:eastAsia="Calibri" w:cs="Arial"/>
          <w:b/>
          <w:noProof/>
          <w:spacing w:val="-1"/>
          <w:kern w:val="0"/>
          <w:lang w:val="mn-MN"/>
          <w14:ligatures w14:val="none"/>
        </w:rPr>
        <w:t xml:space="preserve"> </w:t>
      </w:r>
      <w:r w:rsidR="003B0574" w:rsidRPr="00CC1276">
        <w:rPr>
          <w:rFonts w:eastAsia="Calibri" w:cs="Arial"/>
          <w:noProof/>
          <w:kern w:val="0"/>
          <w:lang w:val="mn-MN"/>
          <w14:ligatures w14:val="none"/>
        </w:rPr>
        <w:t>001/ХТ2025/0024</w:t>
      </w:r>
    </w:p>
    <w:p w14:paraId="3730E336" w14:textId="3FED3804" w:rsidR="00D51240" w:rsidRPr="00CC1276" w:rsidRDefault="00D51240" w:rsidP="00D51240">
      <w:pPr>
        <w:spacing w:after="0" w:line="240" w:lineRule="auto"/>
        <w:jc w:val="both"/>
        <w:rPr>
          <w:rFonts w:eastAsia="Calibri" w:cs="Arial"/>
          <w:noProof/>
          <w:kern w:val="0"/>
          <w:lang w:val="mn-MN"/>
          <w14:ligatures w14:val="none"/>
        </w:rPr>
      </w:pPr>
      <w:r w:rsidRPr="00CC1276">
        <w:rPr>
          <w:rFonts w:eastAsia="Calibri" w:cs="Arial"/>
          <w:b/>
          <w:noProof/>
          <w:kern w:val="0"/>
          <w:lang w:val="mn-MN"/>
          <w14:ligatures w14:val="none"/>
        </w:rPr>
        <w:t>Шүүхийн</w:t>
      </w:r>
      <w:r w:rsidRPr="00CC1276">
        <w:rPr>
          <w:rFonts w:eastAsia="Calibri" w:cs="Arial"/>
          <w:b/>
          <w:noProof/>
          <w:spacing w:val="-1"/>
          <w:kern w:val="0"/>
          <w:lang w:val="mn-MN"/>
          <w14:ligatures w14:val="none"/>
        </w:rPr>
        <w:t xml:space="preserve"> </w:t>
      </w:r>
      <w:r w:rsidRPr="00CC1276">
        <w:rPr>
          <w:rFonts w:eastAsia="Calibri" w:cs="Arial"/>
          <w:b/>
          <w:noProof/>
          <w:kern w:val="0"/>
          <w:lang w:val="mn-MN"/>
          <w14:ligatures w14:val="none"/>
        </w:rPr>
        <w:t>шийдвэрийн</w:t>
      </w:r>
      <w:r w:rsidRPr="00CC1276">
        <w:rPr>
          <w:rFonts w:eastAsia="Calibri" w:cs="Arial"/>
          <w:b/>
          <w:noProof/>
          <w:spacing w:val="-3"/>
          <w:kern w:val="0"/>
          <w:lang w:val="mn-MN"/>
          <w14:ligatures w14:val="none"/>
        </w:rPr>
        <w:t xml:space="preserve"> </w:t>
      </w:r>
      <w:r w:rsidRPr="00CC1276">
        <w:rPr>
          <w:rFonts w:eastAsia="Calibri" w:cs="Arial"/>
          <w:b/>
          <w:noProof/>
          <w:kern w:val="0"/>
          <w:lang w:val="mn-MN"/>
          <w14:ligatures w14:val="none"/>
        </w:rPr>
        <w:t>огноо:</w:t>
      </w:r>
      <w:r w:rsidRPr="00CC1276">
        <w:rPr>
          <w:rFonts w:eastAsia="Calibri" w:cs="Arial"/>
          <w:b/>
          <w:noProof/>
          <w:spacing w:val="2"/>
          <w:kern w:val="0"/>
          <w:lang w:val="mn-MN"/>
          <w14:ligatures w14:val="none"/>
        </w:rPr>
        <w:t xml:space="preserve"> </w:t>
      </w:r>
      <w:r w:rsidRPr="00CC1276">
        <w:rPr>
          <w:rFonts w:eastAsia="Calibri" w:cs="Arial"/>
          <w:noProof/>
          <w:kern w:val="0"/>
          <w:lang w:val="mn-MN"/>
          <w14:ligatures w14:val="none"/>
        </w:rPr>
        <w:t>202</w:t>
      </w:r>
      <w:r w:rsidR="003B0574" w:rsidRPr="00CC1276">
        <w:rPr>
          <w:rFonts w:eastAsia="Calibri" w:cs="Arial"/>
          <w:noProof/>
          <w:kern w:val="0"/>
          <w:lang w:val="mn-MN"/>
          <w14:ligatures w14:val="none"/>
        </w:rPr>
        <w:t>5</w:t>
      </w:r>
      <w:r w:rsidRPr="00CC1276">
        <w:rPr>
          <w:rFonts w:eastAsia="Calibri" w:cs="Arial"/>
          <w:noProof/>
          <w:kern w:val="0"/>
          <w:lang w:val="mn-MN"/>
          <w14:ligatures w14:val="none"/>
        </w:rPr>
        <w:t xml:space="preserve"> оны</w:t>
      </w:r>
      <w:r w:rsidRPr="00CC1276">
        <w:rPr>
          <w:rFonts w:eastAsia="Calibri" w:cs="Arial"/>
          <w:noProof/>
          <w:spacing w:val="-2"/>
          <w:kern w:val="0"/>
          <w:lang w:val="mn-MN"/>
          <w14:ligatures w14:val="none"/>
        </w:rPr>
        <w:t xml:space="preserve"> </w:t>
      </w:r>
      <w:r w:rsidR="00D60197" w:rsidRPr="00CC1276">
        <w:rPr>
          <w:rFonts w:eastAsia="Calibri" w:cs="Arial"/>
          <w:noProof/>
          <w:spacing w:val="-2"/>
          <w:kern w:val="0"/>
          <w:lang w:val="mn-MN"/>
          <w14:ligatures w14:val="none"/>
        </w:rPr>
        <w:t>0</w:t>
      </w:r>
      <w:r w:rsidR="003B0574" w:rsidRPr="00CC1276">
        <w:rPr>
          <w:rFonts w:eastAsia="Calibri" w:cs="Arial"/>
          <w:noProof/>
          <w:spacing w:val="-2"/>
          <w:kern w:val="0"/>
          <w:lang w:val="mn-MN"/>
          <w14:ligatures w14:val="none"/>
        </w:rPr>
        <w:t>3 дугаар</w:t>
      </w:r>
      <w:r w:rsidRPr="00CC1276">
        <w:rPr>
          <w:rFonts w:eastAsia="Calibri" w:cs="Arial"/>
          <w:noProof/>
          <w:spacing w:val="1"/>
          <w:kern w:val="0"/>
          <w:lang w:val="mn-MN"/>
          <w14:ligatures w14:val="none"/>
        </w:rPr>
        <w:t xml:space="preserve"> </w:t>
      </w:r>
      <w:r w:rsidRPr="00CC1276">
        <w:rPr>
          <w:rFonts w:eastAsia="Calibri" w:cs="Arial"/>
          <w:noProof/>
          <w:kern w:val="0"/>
          <w:lang w:val="mn-MN"/>
          <w14:ligatures w14:val="none"/>
        </w:rPr>
        <w:t>сарын</w:t>
      </w:r>
      <w:r w:rsidRPr="00CC1276">
        <w:rPr>
          <w:rFonts w:eastAsia="Calibri" w:cs="Arial"/>
          <w:noProof/>
          <w:spacing w:val="-2"/>
          <w:kern w:val="0"/>
          <w:lang w:val="mn-MN"/>
          <w14:ligatures w14:val="none"/>
        </w:rPr>
        <w:t xml:space="preserve"> </w:t>
      </w:r>
      <w:r w:rsidR="003B0574" w:rsidRPr="00CC1276">
        <w:rPr>
          <w:rFonts w:eastAsia="Calibri" w:cs="Arial"/>
          <w:noProof/>
          <w:kern w:val="0"/>
          <w:lang w:val="mn-MN"/>
          <w14:ligatures w14:val="none"/>
        </w:rPr>
        <w:t>10</w:t>
      </w:r>
      <w:r w:rsidRPr="00CC1276">
        <w:rPr>
          <w:rFonts w:eastAsia="Calibri" w:cs="Arial"/>
          <w:noProof/>
          <w:kern w:val="0"/>
          <w:lang w:val="mn-MN"/>
          <w14:ligatures w14:val="none"/>
        </w:rPr>
        <w:t xml:space="preserve"> өдөр</w:t>
      </w:r>
    </w:p>
    <w:p w14:paraId="562E910C" w14:textId="3EF0282D" w:rsidR="00D51240" w:rsidRPr="00CC1276" w:rsidRDefault="00D51240" w:rsidP="00D51240">
      <w:pPr>
        <w:widowControl w:val="0"/>
        <w:autoSpaceDE w:val="0"/>
        <w:autoSpaceDN w:val="0"/>
        <w:spacing w:after="240" w:line="240" w:lineRule="auto"/>
        <w:ind w:right="122"/>
        <w:jc w:val="both"/>
        <w:rPr>
          <w:rFonts w:eastAsia="Microsoft Sans Serif" w:cs="Arial"/>
          <w:noProof/>
          <w:kern w:val="0"/>
          <w:szCs w:val="24"/>
          <w:lang w:val="mn-MN"/>
          <w14:ligatures w14:val="none"/>
        </w:rPr>
      </w:pPr>
      <w:r w:rsidRPr="00CC1276">
        <w:rPr>
          <w:rFonts w:eastAsia="Microsoft Sans Serif" w:cs="Arial"/>
          <w:b/>
          <w:noProof/>
          <w:kern w:val="0"/>
          <w:szCs w:val="24"/>
          <w:lang w:val="mn-MN"/>
          <w14:ligatures w14:val="none"/>
        </w:rPr>
        <w:t xml:space="preserve">Шийдвэрийн төлөв: </w:t>
      </w:r>
      <w:r w:rsidR="003B0574" w:rsidRPr="00CC1276">
        <w:rPr>
          <w:rFonts w:eastAsia="Microsoft Sans Serif" w:cs="Arial"/>
          <w:noProof/>
          <w:kern w:val="0"/>
          <w:szCs w:val="24"/>
          <w:lang w:val="mn-MN"/>
          <w14:ligatures w14:val="none"/>
        </w:rPr>
        <w:t>Давж заалдах шатны шүүхийн шийдвэрт хууль хэрэглээний өөрчлөлт оруулж</w:t>
      </w:r>
      <w:r w:rsidR="00D60197" w:rsidRPr="00CC1276">
        <w:rPr>
          <w:rFonts w:eastAsia="Microsoft Sans Serif" w:cs="Arial"/>
          <w:noProof/>
          <w:kern w:val="0"/>
          <w:szCs w:val="24"/>
          <w:lang w:val="mn-MN"/>
          <w14:ligatures w14:val="none"/>
        </w:rPr>
        <w:t xml:space="preserve"> шийдвэрлэсэн.</w:t>
      </w:r>
    </w:p>
    <w:p w14:paraId="537F604F" w14:textId="77777777" w:rsidR="00D51240" w:rsidRPr="00CC1276" w:rsidRDefault="00D51240" w:rsidP="008B7A75">
      <w:pPr>
        <w:widowControl w:val="0"/>
        <w:autoSpaceDE w:val="0"/>
        <w:autoSpaceDN w:val="0"/>
        <w:spacing w:before="200" w:after="0" w:line="240" w:lineRule="auto"/>
        <w:jc w:val="both"/>
        <w:outlineLvl w:val="0"/>
        <w:rPr>
          <w:rFonts w:eastAsia="Arial" w:cs="Arial"/>
          <w:b/>
          <w:bCs/>
          <w:noProof/>
          <w:kern w:val="0"/>
          <w:szCs w:val="24"/>
          <w:lang w:val="mn-MN"/>
          <w14:ligatures w14:val="none"/>
        </w:rPr>
      </w:pPr>
      <w:r w:rsidRPr="00CC1276">
        <w:rPr>
          <w:rFonts w:eastAsia="Arial" w:cs="Arial"/>
          <w:b/>
          <w:bCs/>
          <w:noProof/>
          <w:color w:val="006FC0"/>
          <w:kern w:val="0"/>
          <w:szCs w:val="24"/>
          <w:lang w:val="mn-MN"/>
          <w14:ligatures w14:val="none"/>
        </w:rPr>
        <w:t>ХЭРГИЙН</w:t>
      </w:r>
      <w:r w:rsidRPr="00CC1276">
        <w:rPr>
          <w:rFonts w:eastAsia="Arial" w:cs="Arial"/>
          <w:b/>
          <w:bCs/>
          <w:noProof/>
          <w:color w:val="006FC0"/>
          <w:spacing w:val="-3"/>
          <w:kern w:val="0"/>
          <w:szCs w:val="24"/>
          <w:lang w:val="mn-MN"/>
          <w14:ligatures w14:val="none"/>
        </w:rPr>
        <w:t xml:space="preserve"> </w:t>
      </w:r>
      <w:r w:rsidRPr="00CC1276">
        <w:rPr>
          <w:rFonts w:eastAsia="Arial" w:cs="Arial"/>
          <w:b/>
          <w:bCs/>
          <w:noProof/>
          <w:color w:val="006FC0"/>
          <w:kern w:val="0"/>
          <w:szCs w:val="24"/>
          <w:lang w:val="mn-MN"/>
          <w14:ligatures w14:val="none"/>
        </w:rPr>
        <w:t>ТУХАЙ</w:t>
      </w:r>
      <w:r w:rsidRPr="00CC1276">
        <w:rPr>
          <w:rFonts w:eastAsia="Arial" w:cs="Arial"/>
          <w:b/>
          <w:bCs/>
          <w:noProof/>
          <w:color w:val="006FC0"/>
          <w:spacing w:val="-2"/>
          <w:kern w:val="0"/>
          <w:szCs w:val="24"/>
          <w:lang w:val="mn-MN"/>
          <w14:ligatures w14:val="none"/>
        </w:rPr>
        <w:t xml:space="preserve"> </w:t>
      </w:r>
      <w:r w:rsidRPr="00CC1276">
        <w:rPr>
          <w:rFonts w:eastAsia="Arial" w:cs="Arial"/>
          <w:b/>
          <w:bCs/>
          <w:noProof/>
          <w:color w:val="006FC0"/>
          <w:kern w:val="0"/>
          <w:szCs w:val="24"/>
          <w:lang w:val="mn-MN"/>
          <w14:ligatures w14:val="none"/>
        </w:rPr>
        <w:t>ТОВЧ</w:t>
      </w:r>
    </w:p>
    <w:p w14:paraId="57E97C16" w14:textId="3C529DDA" w:rsidR="008B7A75" w:rsidRPr="00CC1276" w:rsidRDefault="008B7A75" w:rsidP="001D16A4">
      <w:pPr>
        <w:spacing w:before="200"/>
        <w:ind w:firstLine="720"/>
        <w:jc w:val="both"/>
        <w:rPr>
          <w:noProof/>
          <w:lang w:val="mn-MN"/>
        </w:rPr>
      </w:pPr>
      <w:r w:rsidRPr="00CC1276">
        <w:rPr>
          <w:noProof/>
          <w:lang w:val="mn-MN"/>
        </w:rPr>
        <w:t xml:space="preserve">Нэхэмжлэгч нь 2005-2012 оны хооронд Монголбанкны эрдэнэсийн санд алт тушаадаг байсан бөгөөд </w:t>
      </w:r>
      <w:r w:rsidR="00F00725" w:rsidRPr="00CC1276">
        <w:rPr>
          <w:noProof/>
          <w:lang w:val="mn-MN"/>
        </w:rPr>
        <w:t xml:space="preserve">Монголбанк </w:t>
      </w:r>
      <w:r w:rsidRPr="00CC1276">
        <w:rPr>
          <w:noProof/>
          <w:lang w:val="mn-MN"/>
        </w:rPr>
        <w:t xml:space="preserve">тус тушаасан алтнаас нийт 428,200,237 төгрөгийн ашигт малтмалын нөөц ашигласны төлбөр суутган, улсын төсөвт төвлөрүүлжээ. </w:t>
      </w:r>
      <w:r w:rsidR="006A1799" w:rsidRPr="00CC1276">
        <w:rPr>
          <w:noProof/>
          <w:lang w:val="mn-MN"/>
        </w:rPr>
        <w:t xml:space="preserve">Харин </w:t>
      </w:r>
      <w:r w:rsidR="007C538C" w:rsidRPr="00CC1276">
        <w:rPr>
          <w:noProof/>
          <w:lang w:val="mn-MN"/>
        </w:rPr>
        <w:t xml:space="preserve">нэхэмжлэгч </w:t>
      </w:r>
      <w:r w:rsidR="006A1799" w:rsidRPr="00CC1276">
        <w:rPr>
          <w:noProof/>
          <w:lang w:val="mn-MN"/>
        </w:rPr>
        <w:t xml:space="preserve">2019 оноос хойш Монголбанк нь ямар үндэслэлээр ашигт малтмалын нөөц ашигласны төлбөр суутган авдаг байсан тухай </w:t>
      </w:r>
      <w:r w:rsidR="00CB4088" w:rsidRPr="00CC1276">
        <w:rPr>
          <w:noProof/>
          <w:lang w:val="mn-MN"/>
        </w:rPr>
        <w:t>тодруулахад тодорхой бус хариу өгдөг байсан</w:t>
      </w:r>
      <w:r w:rsidR="007C538C" w:rsidRPr="00CC1276">
        <w:rPr>
          <w:noProof/>
          <w:lang w:val="mn-MN"/>
        </w:rPr>
        <w:t xml:space="preserve"> тул өөрийн эрх ашгийг зөрчигдсөн гэж үзэж</w:t>
      </w:r>
      <w:r w:rsidR="00CB4088" w:rsidRPr="00CC1276">
        <w:rPr>
          <w:noProof/>
          <w:lang w:val="mn-MN"/>
        </w:rPr>
        <w:t xml:space="preserve"> </w:t>
      </w:r>
      <w:r w:rsidR="007C538C" w:rsidRPr="00CC1276">
        <w:rPr>
          <w:noProof/>
          <w:lang w:val="mn-MN"/>
        </w:rPr>
        <w:t xml:space="preserve"> </w:t>
      </w:r>
      <w:r w:rsidRPr="00CC1276">
        <w:rPr>
          <w:noProof/>
          <w:lang w:val="mn-MN"/>
        </w:rPr>
        <w:t xml:space="preserve">2021 оны 12 дугаар сарын 24, 2022 оны 02 дугаар сарын 11-ний өдрүүдэд </w:t>
      </w:r>
      <w:r w:rsidR="00FE78B4" w:rsidRPr="00CC1276">
        <w:rPr>
          <w:noProof/>
          <w:lang w:val="mn-MN"/>
        </w:rPr>
        <w:t xml:space="preserve">тус тус </w:t>
      </w:r>
      <w:r w:rsidRPr="00CC1276">
        <w:rPr>
          <w:noProof/>
          <w:lang w:val="mn-MN"/>
        </w:rPr>
        <w:t>Монголбанканд хандаж 2005-2012 оны хооронд төлсөн ашигт малтмалын нөөц ашигласны төлбөрийг буцаан гаргуулах тухай хүсэлт гаргасан</w:t>
      </w:r>
      <w:r w:rsidR="00FE78B4" w:rsidRPr="00CC1276">
        <w:rPr>
          <w:noProof/>
          <w:lang w:val="mn-MN"/>
        </w:rPr>
        <w:t xml:space="preserve"> байна</w:t>
      </w:r>
      <w:r w:rsidRPr="00CC1276">
        <w:rPr>
          <w:noProof/>
          <w:lang w:val="mn-MN"/>
        </w:rPr>
        <w:t>.</w:t>
      </w:r>
      <w:r w:rsidR="001D16A4" w:rsidRPr="00CC1276">
        <w:rPr>
          <w:noProof/>
          <w:lang w:val="mn-MN"/>
        </w:rPr>
        <w:t xml:space="preserve"> </w:t>
      </w:r>
      <w:r w:rsidRPr="00CC1276">
        <w:rPr>
          <w:noProof/>
          <w:lang w:val="mn-MN"/>
        </w:rPr>
        <w:t xml:space="preserve">Монголбанкнаас 2022 оны 01 дүгээр сарын 11-ний өдрийн Б-10/24, 2022 оны 03 дугаар сарын 11-ний өдрийн Б-10/193 дугаар албан бичгүүдээр </w:t>
      </w:r>
      <w:r w:rsidR="00B15E53" w:rsidRPr="00CC1276">
        <w:rPr>
          <w:noProof/>
          <w:lang w:val="mn-MN"/>
        </w:rPr>
        <w:t xml:space="preserve">Монголбанк нь         </w:t>
      </w:r>
      <w:r w:rsidR="00057310" w:rsidRPr="00CC1276">
        <w:rPr>
          <w:noProof/>
          <w:lang w:val="mn-MN"/>
        </w:rPr>
        <w:t xml:space="preserve">“... </w:t>
      </w:r>
      <w:r w:rsidRPr="00CC1276">
        <w:rPr>
          <w:noProof/>
          <w:lang w:val="mn-MN"/>
        </w:rPr>
        <w:t>Ашигт малтмалын тухай хууль (2006)</w:t>
      </w:r>
      <w:r w:rsidRPr="00CC1276">
        <w:rPr>
          <w:rStyle w:val="FootnoteReference"/>
          <w:noProof/>
          <w:lang w:val="mn-MN"/>
        </w:rPr>
        <w:footnoteReference w:id="2"/>
      </w:r>
      <w:r w:rsidRPr="00CC1276">
        <w:rPr>
          <w:noProof/>
          <w:lang w:val="mn-MN"/>
        </w:rPr>
        <w:t>-ийн 47.1</w:t>
      </w:r>
      <w:r w:rsidR="001F2FEE" w:rsidRPr="00CC1276">
        <w:rPr>
          <w:rStyle w:val="FootnoteReference"/>
          <w:noProof/>
          <w:lang w:val="mn-MN"/>
        </w:rPr>
        <w:footnoteReference w:id="3"/>
      </w:r>
      <w:r w:rsidRPr="00CC1276">
        <w:rPr>
          <w:noProof/>
          <w:lang w:val="mn-MN"/>
        </w:rPr>
        <w:t xml:space="preserve"> дэх хэсгийн дагуу байгалийн нөөц ашигласны төлбөрийг хуульд заасан хэмжээгээр суутгаж, улсын төсвийн дансанд шилжүүлэх үүргийг хүлээдэг</w:t>
      </w:r>
      <w:r w:rsidR="00057310" w:rsidRPr="00CC1276">
        <w:rPr>
          <w:noProof/>
          <w:lang w:val="mn-MN"/>
        </w:rPr>
        <w:t>.</w:t>
      </w:r>
      <w:r w:rsidR="001F2FEE" w:rsidRPr="00CC1276">
        <w:rPr>
          <w:noProof/>
          <w:lang w:val="mn-MN"/>
        </w:rPr>
        <w:t xml:space="preserve">  </w:t>
      </w:r>
      <w:r w:rsidR="00057310" w:rsidRPr="00CC1276">
        <w:rPr>
          <w:noProof/>
          <w:color w:val="0070C0"/>
          <w:lang w:val="mn-MN"/>
        </w:rPr>
        <w:t xml:space="preserve">Ашигт малтмалын тухай хуулийн 47.1 дэх </w:t>
      </w:r>
      <w:r w:rsidR="001F2FEE" w:rsidRPr="00CC1276">
        <w:rPr>
          <w:noProof/>
          <w:lang w:val="mn-MN"/>
        </w:rPr>
        <w:t xml:space="preserve"> </w:t>
      </w:r>
      <w:r w:rsidRPr="00CC1276">
        <w:rPr>
          <w:noProof/>
          <w:color w:val="0070C0"/>
          <w:lang w:val="mn-MN"/>
        </w:rPr>
        <w:t>хэсэгт орсон нэмэлт өөрчлөлтийг 2003-2013 оны хооронд алт тушаасан иргэнд буцаан хэрэглэх нь хууль зүйн үндэслэлгүй</w:t>
      </w:r>
      <w:r w:rsidR="00057310" w:rsidRPr="00CC1276">
        <w:rPr>
          <w:noProof/>
          <w:color w:val="0070C0"/>
          <w:lang w:val="mn-MN"/>
        </w:rPr>
        <w:t xml:space="preserve"> </w:t>
      </w:r>
      <w:r w:rsidR="00057310" w:rsidRPr="00CC1276">
        <w:rPr>
          <w:noProof/>
          <w:lang w:val="mn-MN"/>
        </w:rPr>
        <w:t>...</w:t>
      </w:r>
      <w:r w:rsidR="00082913" w:rsidRPr="00CC1276">
        <w:rPr>
          <w:noProof/>
          <w:lang w:val="mn-MN"/>
        </w:rPr>
        <w:t>”</w:t>
      </w:r>
      <w:r w:rsidRPr="00CC1276">
        <w:rPr>
          <w:noProof/>
          <w:lang w:val="mn-MN"/>
        </w:rPr>
        <w:t xml:space="preserve">  гэх хариу хүргүүлжээ.</w:t>
      </w:r>
    </w:p>
    <w:p w14:paraId="334A337B" w14:textId="7B15297C" w:rsidR="008B7A75" w:rsidRPr="00CC1276" w:rsidRDefault="008B7A75" w:rsidP="008B7A75">
      <w:pPr>
        <w:jc w:val="both"/>
        <w:rPr>
          <w:noProof/>
          <w:color w:val="000000" w:themeColor="text1"/>
          <w:lang w:val="mn-MN"/>
        </w:rPr>
      </w:pPr>
      <w:r w:rsidRPr="00CC1276">
        <w:rPr>
          <w:noProof/>
          <w:lang w:val="mn-MN"/>
        </w:rPr>
        <w:tab/>
        <w:t>Иймд нэхэмжлэгч</w:t>
      </w:r>
      <w:r w:rsidR="00FC3D7C">
        <w:rPr>
          <w:noProof/>
          <w:lang w:val="mn-MN"/>
        </w:rPr>
        <w:t>ээс</w:t>
      </w:r>
      <w:r w:rsidRPr="00CC1276">
        <w:rPr>
          <w:noProof/>
          <w:lang w:val="mn-MN"/>
        </w:rPr>
        <w:t xml:space="preserve"> Монголбанк </w:t>
      </w:r>
      <w:r w:rsidR="00FE78B4" w:rsidRPr="00CC1276">
        <w:rPr>
          <w:noProof/>
          <w:lang w:val="mn-MN"/>
        </w:rPr>
        <w:t xml:space="preserve">нь </w:t>
      </w:r>
      <w:r w:rsidRPr="00CC1276">
        <w:rPr>
          <w:noProof/>
          <w:lang w:val="mn-MN"/>
        </w:rPr>
        <w:t>хууль зүйн үндэслэлгүйгээр ашигт малтмалын нөөц ашигласны төлбөр суутган авсан тул 2005-2012 оны хугацаанд Монголбанк түүнээс эрх олгосон арилжааны банканд алт тушааж буй иргэн ашигт малтмалын нөөц ашигласны төлбөр төлөх үүрэггүй байсан болохыг тогтоолгох, хууль бусаар суутган авсан 428,200,327 төгрөгийн хохирлыг Монголбанкнаас буцаан гаргуулахаар</w:t>
      </w:r>
      <w:r w:rsidR="00566290" w:rsidRPr="00CC1276">
        <w:rPr>
          <w:noProof/>
          <w:lang w:val="mn-MN"/>
        </w:rPr>
        <w:t xml:space="preserve"> </w:t>
      </w:r>
      <w:r w:rsidR="00872782" w:rsidRPr="00CC1276">
        <w:rPr>
          <w:noProof/>
          <w:color w:val="000000" w:themeColor="text1"/>
          <w:lang w:val="mn-MN"/>
        </w:rPr>
        <w:t>Захиргааны хэргийн давж заалдах шатны шүүхэд нэхэмжлэл гаргажээ</w:t>
      </w:r>
      <w:r w:rsidRPr="00CC1276">
        <w:rPr>
          <w:noProof/>
          <w:color w:val="000000" w:themeColor="text1"/>
          <w:lang w:val="mn-MN"/>
        </w:rPr>
        <w:t>.</w:t>
      </w:r>
    </w:p>
    <w:p w14:paraId="1DF7F136" w14:textId="1985E1A6" w:rsidR="00FE78B4" w:rsidRPr="00CC1276" w:rsidRDefault="00FA620B" w:rsidP="008B7A75">
      <w:pPr>
        <w:jc w:val="both"/>
        <w:rPr>
          <w:noProof/>
          <w:color w:val="EE0000"/>
          <w:lang w:val="mn-MN"/>
        </w:rPr>
      </w:pPr>
      <w:r w:rsidRPr="00CC1276">
        <w:rPr>
          <w:noProof/>
          <w:color w:val="000000" w:themeColor="text1"/>
          <w:lang w:val="mn-MN"/>
        </w:rPr>
        <w:tab/>
        <w:t>Хариуцагчийн зүгээс нэхэмжлэлийн шаардлагыг эс зөвшөөрч</w:t>
      </w:r>
      <w:r w:rsidR="00E17E24" w:rsidRPr="00CC1276">
        <w:rPr>
          <w:noProof/>
          <w:color w:val="000000" w:themeColor="text1"/>
          <w:lang w:val="mn-MN"/>
        </w:rPr>
        <w:t>,</w:t>
      </w:r>
      <w:r w:rsidRPr="00CC1276">
        <w:rPr>
          <w:noProof/>
          <w:color w:val="000000" w:themeColor="text1"/>
          <w:lang w:val="mn-MN"/>
        </w:rPr>
        <w:t xml:space="preserve"> </w:t>
      </w:r>
      <w:r w:rsidR="00E404DA" w:rsidRPr="00CC1276">
        <w:rPr>
          <w:noProof/>
          <w:color w:val="000000" w:themeColor="text1"/>
          <w:lang w:val="mn-MN"/>
        </w:rPr>
        <w:t xml:space="preserve">Монголбанк нь </w:t>
      </w:r>
      <w:r w:rsidR="004C01DA" w:rsidRPr="00CC1276">
        <w:rPr>
          <w:noProof/>
          <w:color w:val="000000" w:themeColor="text1"/>
          <w:lang w:val="mn-MN"/>
        </w:rPr>
        <w:t xml:space="preserve">Ашигт малтмалын тухай хууль (2006)-ийн </w:t>
      </w:r>
      <w:r w:rsidR="000D6EE8" w:rsidRPr="00CC1276">
        <w:rPr>
          <w:noProof/>
          <w:color w:val="000000" w:themeColor="text1"/>
          <w:lang w:val="mn-MN"/>
        </w:rPr>
        <w:t xml:space="preserve">47 дугаар зүйлийн 47.1 дэх хэсэгт заасны </w:t>
      </w:r>
      <w:r w:rsidR="000D6EE8" w:rsidRPr="00CC1276">
        <w:rPr>
          <w:noProof/>
          <w:color w:val="000000" w:themeColor="text1"/>
          <w:lang w:val="mn-MN"/>
        </w:rPr>
        <w:lastRenderedPageBreak/>
        <w:t>дагуу Засгийн газрын 272 тоот тогтоол</w:t>
      </w:r>
      <w:r w:rsidR="00150A6B" w:rsidRPr="00CC1276">
        <w:rPr>
          <w:noProof/>
          <w:color w:val="000000" w:themeColor="text1"/>
          <w:lang w:val="mn-MN"/>
        </w:rPr>
        <w:t>ын 1 дүгээр хавсралтаар</w:t>
      </w:r>
      <w:r w:rsidR="000D6EE8" w:rsidRPr="00CC1276">
        <w:rPr>
          <w:noProof/>
          <w:color w:val="000000" w:themeColor="text1"/>
          <w:lang w:val="mn-MN"/>
        </w:rPr>
        <w:t xml:space="preserve"> баталсан </w:t>
      </w:r>
      <w:r w:rsidR="00150A6B" w:rsidRPr="00CC1276">
        <w:rPr>
          <w:noProof/>
          <w:color w:val="000000" w:themeColor="text1"/>
          <w:lang w:val="mn-MN"/>
        </w:rPr>
        <w:t>“Ашигт малтмалын нөөц ашигласны төлбөрийн хувийг тооцох, төлбөр ногдуулах, тайлагнах, төлөх журам”-ын дагуу ашигт малтмалын нөөц ашигласны төлбөрийг суутгаж, төсөвт шилжүүлсэн гэж маргажээ.</w:t>
      </w:r>
    </w:p>
    <w:p w14:paraId="5593F9E8" w14:textId="40A5C735" w:rsidR="00D51240" w:rsidRPr="00CC1276" w:rsidRDefault="00D51240" w:rsidP="008B7A75">
      <w:pPr>
        <w:widowControl w:val="0"/>
        <w:autoSpaceDE w:val="0"/>
        <w:autoSpaceDN w:val="0"/>
        <w:spacing w:before="202" w:line="240" w:lineRule="auto"/>
        <w:ind w:right="389"/>
        <w:jc w:val="both"/>
        <w:outlineLvl w:val="0"/>
        <w:rPr>
          <w:rFonts w:eastAsia="Arial" w:cs="Arial"/>
          <w:b/>
          <w:bCs/>
          <w:noProof/>
          <w:kern w:val="0"/>
          <w:szCs w:val="24"/>
          <w:lang w:val="mn-MN"/>
          <w14:ligatures w14:val="none"/>
        </w:rPr>
      </w:pPr>
      <w:r w:rsidRPr="00CC1276">
        <w:rPr>
          <w:rFonts w:eastAsia="Arial" w:cs="Arial"/>
          <w:b/>
          <w:bCs/>
          <w:noProof/>
          <w:color w:val="006FC0"/>
          <w:kern w:val="0"/>
          <w:szCs w:val="24"/>
          <w:lang w:val="mn-MN"/>
          <w14:ligatures w14:val="none"/>
        </w:rPr>
        <w:t>ХУУЛЬ</w:t>
      </w:r>
      <w:r w:rsidRPr="00CC1276">
        <w:rPr>
          <w:rFonts w:eastAsia="Arial" w:cs="Arial"/>
          <w:b/>
          <w:bCs/>
          <w:noProof/>
          <w:color w:val="006FC0"/>
          <w:spacing w:val="-4"/>
          <w:kern w:val="0"/>
          <w:szCs w:val="24"/>
          <w:lang w:val="mn-MN"/>
          <w14:ligatures w14:val="none"/>
        </w:rPr>
        <w:t xml:space="preserve"> </w:t>
      </w:r>
      <w:r w:rsidRPr="00CC1276">
        <w:rPr>
          <w:rFonts w:eastAsia="Arial" w:cs="Arial"/>
          <w:b/>
          <w:bCs/>
          <w:noProof/>
          <w:color w:val="006FC0"/>
          <w:kern w:val="0"/>
          <w:szCs w:val="24"/>
          <w:lang w:val="mn-MN"/>
          <w14:ligatures w14:val="none"/>
        </w:rPr>
        <w:t>ХЭРЭГЛЭЭ,</w:t>
      </w:r>
      <w:r w:rsidRPr="00CC1276">
        <w:rPr>
          <w:rFonts w:eastAsia="Arial" w:cs="Arial"/>
          <w:b/>
          <w:bCs/>
          <w:noProof/>
          <w:color w:val="006FC0"/>
          <w:spacing w:val="-5"/>
          <w:kern w:val="0"/>
          <w:szCs w:val="24"/>
          <w:lang w:val="mn-MN"/>
          <w14:ligatures w14:val="none"/>
        </w:rPr>
        <w:t xml:space="preserve"> </w:t>
      </w:r>
      <w:r w:rsidRPr="00CC1276">
        <w:rPr>
          <w:rFonts w:eastAsia="Arial" w:cs="Arial"/>
          <w:b/>
          <w:bCs/>
          <w:noProof/>
          <w:color w:val="006FC0"/>
          <w:kern w:val="0"/>
          <w:szCs w:val="24"/>
          <w:lang w:val="mn-MN"/>
          <w14:ligatures w14:val="none"/>
        </w:rPr>
        <w:t>ШҮҮХИЙН ШИЙДВЭР</w:t>
      </w:r>
    </w:p>
    <w:p w14:paraId="72077DD6" w14:textId="16290EAB" w:rsidR="004E7694" w:rsidRPr="00CC1276" w:rsidRDefault="00D51240" w:rsidP="00D94D01">
      <w:pPr>
        <w:numPr>
          <w:ilvl w:val="0"/>
          <w:numId w:val="1"/>
        </w:numPr>
        <w:spacing w:after="0" w:line="240" w:lineRule="auto"/>
        <w:contextualSpacing/>
        <w:jc w:val="both"/>
        <w:rPr>
          <w:rFonts w:eastAsia="Calibri" w:cs="Arial"/>
          <w:noProof/>
          <w:kern w:val="0"/>
          <w:szCs w:val="24"/>
          <w:lang w:val="mn-MN"/>
          <w14:ligatures w14:val="none"/>
        </w:rPr>
      </w:pPr>
      <w:r w:rsidRPr="00CC1276">
        <w:rPr>
          <w:rFonts w:eastAsia="Calibri" w:cs="Arial"/>
          <w:b/>
          <w:i/>
          <w:noProof/>
          <w:kern w:val="0"/>
          <w:lang w:val="mn-MN"/>
          <w14:ligatures w14:val="none"/>
        </w:rPr>
        <w:t>Давж заалдах шатны шүүхээс</w:t>
      </w:r>
      <w:r w:rsidR="00957F78" w:rsidRPr="00CC1276">
        <w:rPr>
          <w:rFonts w:eastAsia="Calibri" w:cs="Arial"/>
          <w:b/>
          <w:i/>
          <w:noProof/>
          <w:kern w:val="0"/>
          <w:lang w:val="mn-MN"/>
          <w14:ligatures w14:val="none"/>
        </w:rPr>
        <w:t xml:space="preserve"> (анхан шатны журмаар)</w:t>
      </w:r>
      <w:r w:rsidRPr="00CC1276">
        <w:rPr>
          <w:rFonts w:eastAsia="Calibri" w:cs="Arial"/>
          <w:noProof/>
          <w:kern w:val="0"/>
          <w:lang w:val="mn-MN"/>
          <w14:ligatures w14:val="none"/>
        </w:rPr>
        <w:t xml:space="preserve">: </w:t>
      </w:r>
      <w:r w:rsidR="00750F42" w:rsidRPr="00CC1276">
        <w:rPr>
          <w:rFonts w:eastAsia="Calibri" w:cs="Arial"/>
          <w:noProof/>
          <w:kern w:val="0"/>
          <w:lang w:val="mn-MN"/>
          <w14:ligatures w14:val="none"/>
        </w:rPr>
        <w:t>“... Нэхэмжлэгч нь бусад этгээдээс олборлосон алтыг М</w:t>
      </w:r>
      <w:r w:rsidR="00DD4994" w:rsidRPr="00CC1276">
        <w:rPr>
          <w:rFonts w:eastAsia="Calibri" w:cs="Arial"/>
          <w:noProof/>
          <w:kern w:val="0"/>
          <w:lang w:val="mn-MN"/>
          <w14:ligatures w14:val="none"/>
        </w:rPr>
        <w:t>онголбанка</w:t>
      </w:r>
      <w:r w:rsidR="00750F42" w:rsidRPr="00CC1276">
        <w:rPr>
          <w:rFonts w:eastAsia="Calibri" w:cs="Arial"/>
          <w:noProof/>
          <w:kern w:val="0"/>
          <w:lang w:val="mn-MN"/>
          <w14:ligatures w14:val="none"/>
        </w:rPr>
        <w:t>нд худалдахдаа ашигт малтмалын нөөц ашигласны төлбөрийг төлөх үүрэгтэй бөгөөд хариуцагч М</w:t>
      </w:r>
      <w:r w:rsidR="00DD4994" w:rsidRPr="00CC1276">
        <w:rPr>
          <w:rFonts w:eastAsia="Calibri" w:cs="Arial"/>
          <w:noProof/>
          <w:kern w:val="0"/>
          <w:lang w:val="mn-MN"/>
          <w14:ligatures w14:val="none"/>
        </w:rPr>
        <w:t>онгол</w:t>
      </w:r>
      <w:r w:rsidR="00750F42" w:rsidRPr="00CC1276">
        <w:rPr>
          <w:rFonts w:eastAsia="Calibri" w:cs="Arial"/>
          <w:noProof/>
          <w:kern w:val="0"/>
          <w:lang w:val="mn-MN"/>
          <w14:ligatures w14:val="none"/>
        </w:rPr>
        <w:t>б</w:t>
      </w:r>
      <w:r w:rsidR="00DD4994" w:rsidRPr="00CC1276">
        <w:rPr>
          <w:rFonts w:eastAsia="Calibri" w:cs="Arial"/>
          <w:noProof/>
          <w:kern w:val="0"/>
          <w:lang w:val="mn-MN"/>
          <w14:ligatures w14:val="none"/>
        </w:rPr>
        <w:t>анк</w:t>
      </w:r>
      <w:r w:rsidR="00750F42" w:rsidRPr="00CC1276">
        <w:rPr>
          <w:rFonts w:eastAsia="Calibri" w:cs="Arial"/>
          <w:noProof/>
          <w:kern w:val="0"/>
          <w:lang w:val="mn-MN"/>
          <w14:ligatures w14:val="none"/>
        </w:rPr>
        <w:t>наас өөрт нь хуулиар олгосон үүргийн дагуу түүнээс ашигт малтмалын нөөц ашигласны төлбөрийг алт тушаасан тухай бүр</w:t>
      </w:r>
      <w:r w:rsidR="00DD4994" w:rsidRPr="00CC1276">
        <w:rPr>
          <w:rFonts w:eastAsia="Calibri" w:cs="Arial"/>
          <w:noProof/>
          <w:kern w:val="0"/>
          <w:lang w:val="mn-MN"/>
          <w14:ligatures w14:val="none"/>
        </w:rPr>
        <w:t>д</w:t>
      </w:r>
      <w:r w:rsidR="00750F42" w:rsidRPr="00CC1276">
        <w:rPr>
          <w:rFonts w:eastAsia="Calibri" w:cs="Arial"/>
          <w:noProof/>
          <w:kern w:val="0"/>
          <w:lang w:val="mn-MN"/>
          <w14:ligatures w14:val="none"/>
        </w:rPr>
        <w:t xml:space="preserve"> нь хуульд заасан хэмжээгээр суутгаж, улсын төсвийн дансанд шилжүүлж байсан хариуцагчийн үйлдэл, төлбөр суутгасан харилцааг хуульд нийцээгүй байсан, мөн маргааны үйл баримтад холбогдох цаг хугацаанд алт тушаасан нэхэмжлэгч иргэн нь ашигт малтмалын нөөц ашигласны төлбөр төлөх үүрэггүй байсан гэж шүүхээс үзэх үндэслэлгүй” гэ</w:t>
      </w:r>
      <w:r w:rsidR="00666707">
        <w:rPr>
          <w:rFonts w:eastAsia="Calibri" w:cs="Arial"/>
          <w:noProof/>
          <w:kern w:val="0"/>
          <w:lang w:val="mn-MN"/>
          <w14:ligatures w14:val="none"/>
        </w:rPr>
        <w:t>ж</w:t>
      </w:r>
      <w:r w:rsidR="00FD5FDE">
        <w:rPr>
          <w:rFonts w:eastAsia="Calibri" w:cs="Arial"/>
          <w:noProof/>
          <w:kern w:val="0"/>
          <w:lang w:val="mn-MN"/>
          <w14:ligatures w14:val="none"/>
        </w:rPr>
        <w:t xml:space="preserve"> </w:t>
      </w:r>
      <w:bookmarkStart w:id="0" w:name="_GoBack"/>
      <w:bookmarkEnd w:id="0"/>
      <w:r w:rsidR="00750F42" w:rsidRPr="00CC1276">
        <w:rPr>
          <w:rFonts w:eastAsia="Calibri" w:cs="Arial"/>
          <w:noProof/>
          <w:color w:val="0070C0"/>
          <w:kern w:val="0"/>
          <w:lang w:val="mn-MN"/>
          <w14:ligatures w14:val="none"/>
        </w:rPr>
        <w:t>нэхэмжлэлийн шаардлагыг бүхэлд нь хэрэгсэхг</w:t>
      </w:r>
      <w:r w:rsidR="00704444" w:rsidRPr="00CC1276">
        <w:rPr>
          <w:rFonts w:eastAsia="Calibri" w:cs="Arial"/>
          <w:noProof/>
          <w:color w:val="0070C0"/>
          <w:kern w:val="0"/>
          <w:lang w:val="mn-MN"/>
          <w14:ligatures w14:val="none"/>
        </w:rPr>
        <w:t>үй болгон шийдвэрлэжээ.</w:t>
      </w:r>
    </w:p>
    <w:p w14:paraId="04E499D0" w14:textId="61CA4BDE" w:rsidR="00C835E0" w:rsidRPr="00CC1276" w:rsidRDefault="00D51240" w:rsidP="00D94D01">
      <w:pPr>
        <w:numPr>
          <w:ilvl w:val="0"/>
          <w:numId w:val="1"/>
        </w:numPr>
        <w:spacing w:after="0" w:line="240" w:lineRule="auto"/>
        <w:contextualSpacing/>
        <w:jc w:val="both"/>
        <w:rPr>
          <w:rFonts w:eastAsia="Calibri" w:cs="Arial"/>
          <w:bCs/>
          <w:noProof/>
          <w:kern w:val="0"/>
          <w:szCs w:val="24"/>
          <w:lang w:val="mn-MN"/>
          <w14:ligatures w14:val="none"/>
        </w:rPr>
      </w:pPr>
      <w:r w:rsidRPr="00CC1276">
        <w:rPr>
          <w:rFonts w:eastAsia="Calibri" w:cs="Arial"/>
          <w:b/>
          <w:i/>
          <w:noProof/>
          <w:kern w:val="0"/>
          <w:lang w:val="mn-MN"/>
          <w14:ligatures w14:val="none"/>
        </w:rPr>
        <w:t>Нэхэмжлэгч</w:t>
      </w:r>
      <w:r w:rsidR="00704444" w:rsidRPr="00CC1276">
        <w:rPr>
          <w:rFonts w:eastAsia="Calibri" w:cs="Arial"/>
          <w:b/>
          <w:i/>
          <w:noProof/>
          <w:kern w:val="0"/>
          <w:lang w:val="mn-MN"/>
          <w14:ligatures w14:val="none"/>
        </w:rPr>
        <w:t xml:space="preserve">ийн </w:t>
      </w:r>
      <w:r w:rsidR="00D94D01" w:rsidRPr="00CC1276">
        <w:rPr>
          <w:rFonts w:eastAsia="Calibri" w:cs="Arial"/>
          <w:b/>
          <w:i/>
          <w:noProof/>
          <w:kern w:val="0"/>
          <w:lang w:val="mn-MN"/>
          <w14:ligatures w14:val="none"/>
        </w:rPr>
        <w:t xml:space="preserve">өмгөөлөгчийн </w:t>
      </w:r>
      <w:r w:rsidRPr="00CC1276">
        <w:rPr>
          <w:rFonts w:eastAsia="Calibri" w:cs="Arial"/>
          <w:b/>
          <w:i/>
          <w:noProof/>
          <w:kern w:val="0"/>
          <w:lang w:val="mn-MN"/>
          <w14:ligatures w14:val="none"/>
        </w:rPr>
        <w:t>зүгээс:</w:t>
      </w:r>
      <w:r w:rsidRPr="00CC1276">
        <w:rPr>
          <w:rFonts w:eastAsia="Calibri" w:cs="Arial"/>
          <w:bCs/>
          <w:iCs/>
          <w:noProof/>
          <w:kern w:val="0"/>
          <w:lang w:val="mn-MN"/>
          <w14:ligatures w14:val="none"/>
        </w:rPr>
        <w:t xml:space="preserve"> </w:t>
      </w:r>
      <w:r w:rsidR="00C835E0" w:rsidRPr="00CC1276">
        <w:rPr>
          <w:rFonts w:eastAsia="Calibri" w:cs="Arial"/>
          <w:bCs/>
          <w:iCs/>
          <w:noProof/>
          <w:kern w:val="0"/>
          <w:lang w:val="mn-MN"/>
          <w14:ligatures w14:val="none"/>
        </w:rPr>
        <w:t xml:space="preserve">“... </w:t>
      </w:r>
      <w:r w:rsidR="00C835E0" w:rsidRPr="00CC1276">
        <w:rPr>
          <w:rFonts w:eastAsia="Calibri" w:cs="Arial"/>
          <w:bCs/>
          <w:iCs/>
          <w:noProof/>
          <w:color w:val="0070C0"/>
          <w:kern w:val="0"/>
          <w:lang w:val="mn-MN"/>
          <w14:ligatures w14:val="none"/>
        </w:rPr>
        <w:t>Нийтийн эрх зүйн хүрээнд “зөвшөөрснөөс бусдыг хориглох” нийтээр хүлээн зөвшөөрөгдсөн зарчим үйлчилдэг</w:t>
      </w:r>
      <w:r w:rsidR="00C835E0" w:rsidRPr="00CC1276">
        <w:rPr>
          <w:rFonts w:eastAsia="Calibri" w:cs="Arial"/>
          <w:bCs/>
          <w:iCs/>
          <w:noProof/>
          <w:kern w:val="0"/>
          <w:lang w:val="mn-MN"/>
          <w14:ligatures w14:val="none"/>
        </w:rPr>
        <w:t xml:space="preserve"> тул 2005-2012 оны хугацаанд Монголбанк нь иргэдийн худалдаж буй алтны борлуулалтын үнэлгээнээс АМНАТ-ийн суутгал хийх эрхгүй байсан</w:t>
      </w:r>
      <w:r w:rsidR="005A088E" w:rsidRPr="00CC1276">
        <w:rPr>
          <w:rFonts w:eastAsia="Calibri" w:cs="Arial"/>
          <w:bCs/>
          <w:iCs/>
          <w:noProof/>
          <w:kern w:val="0"/>
          <w:lang w:val="mn-MN"/>
          <w14:ligatures w14:val="none"/>
        </w:rPr>
        <w:t xml:space="preserve"> </w:t>
      </w:r>
      <w:r w:rsidR="00C835E0" w:rsidRPr="00CC1276">
        <w:rPr>
          <w:rFonts w:eastAsia="Calibri" w:cs="Arial"/>
          <w:bCs/>
          <w:iCs/>
          <w:noProof/>
          <w:kern w:val="0"/>
          <w:lang w:val="mn-MN"/>
          <w14:ligatures w14:val="none"/>
        </w:rPr>
        <w:t>...”</w:t>
      </w:r>
      <w:r w:rsidR="00765487" w:rsidRPr="00CC1276">
        <w:rPr>
          <w:rFonts w:eastAsia="Calibri" w:cs="Arial"/>
          <w:bCs/>
          <w:iCs/>
          <w:noProof/>
          <w:kern w:val="0"/>
          <w:lang w:val="mn-MN"/>
          <w14:ligatures w14:val="none"/>
        </w:rPr>
        <w:t>,</w:t>
      </w:r>
      <w:r w:rsidR="005A088E" w:rsidRPr="00CC1276">
        <w:rPr>
          <w:rFonts w:eastAsia="Calibri" w:cs="Arial"/>
          <w:bCs/>
          <w:iCs/>
          <w:noProof/>
          <w:kern w:val="0"/>
          <w:lang w:val="mn-MN"/>
          <w14:ligatures w14:val="none"/>
        </w:rPr>
        <w:t xml:space="preserve">          </w:t>
      </w:r>
      <w:r w:rsidR="00765487" w:rsidRPr="00CC1276">
        <w:rPr>
          <w:rFonts w:eastAsia="Calibri" w:cs="Arial"/>
          <w:bCs/>
          <w:iCs/>
          <w:noProof/>
          <w:kern w:val="0"/>
          <w:lang w:val="mn-MN"/>
          <w14:ligatures w14:val="none"/>
        </w:rPr>
        <w:t xml:space="preserve"> “... ашигт малтмалын лиценз эзэмшигч л ашигт малтмалыг ашиглах эрхтэй ...</w:t>
      </w:r>
      <w:r w:rsidR="005A5452" w:rsidRPr="00CC1276">
        <w:rPr>
          <w:rFonts w:eastAsia="Calibri" w:cs="Arial"/>
          <w:bCs/>
          <w:iCs/>
          <w:noProof/>
          <w:kern w:val="0"/>
          <w:lang w:val="mn-MN"/>
          <w14:ligatures w14:val="none"/>
        </w:rPr>
        <w:t xml:space="preserve"> анх олборлосон лиценз эзэмшигч нь тухайн олборлосон ашигт малтмалд холбогдох АМНАТ-ийг төлөх үүргийг хүлээсэн ... </w:t>
      </w:r>
      <w:r w:rsidR="00765487" w:rsidRPr="00CC1276">
        <w:rPr>
          <w:rFonts w:eastAsia="Calibri" w:cs="Arial"/>
          <w:bCs/>
          <w:iCs/>
          <w:noProof/>
          <w:kern w:val="0"/>
          <w:lang w:val="mn-MN"/>
          <w14:ligatures w14:val="none"/>
        </w:rPr>
        <w:t>”, “</w:t>
      </w:r>
      <w:r w:rsidR="005A5452" w:rsidRPr="00CC1276">
        <w:rPr>
          <w:rFonts w:eastAsia="Calibri" w:cs="Arial"/>
          <w:bCs/>
          <w:iCs/>
          <w:noProof/>
          <w:kern w:val="0"/>
          <w:lang w:val="mn-MN"/>
          <w14:ligatures w14:val="none"/>
        </w:rPr>
        <w:t>...</w:t>
      </w:r>
      <w:r w:rsidR="005A088E" w:rsidRPr="00CC1276">
        <w:rPr>
          <w:rFonts w:eastAsia="Calibri" w:cs="Arial"/>
          <w:bCs/>
          <w:iCs/>
          <w:noProof/>
          <w:kern w:val="0"/>
          <w:lang w:val="mn-MN"/>
          <w14:ligatures w14:val="none"/>
        </w:rPr>
        <w:t xml:space="preserve"> </w:t>
      </w:r>
      <w:r w:rsidR="005A5452" w:rsidRPr="00CC1276">
        <w:rPr>
          <w:rFonts w:eastAsia="Calibri" w:cs="Arial"/>
          <w:bCs/>
          <w:iCs/>
          <w:noProof/>
          <w:kern w:val="0"/>
          <w:lang w:val="mn-MN"/>
          <w14:ligatures w14:val="none"/>
        </w:rPr>
        <w:t>ашигт малтмалыг ашиглах эрхийг гагцхүү тусгай зөвшөөрлөөр ашиглах эрхтэй байдаг ба энэхүү тусгай зөвшөөрлийг иргэн авах боломжгүй ...</w:t>
      </w:r>
      <w:r w:rsidR="00765487" w:rsidRPr="00CC1276">
        <w:rPr>
          <w:rFonts w:eastAsia="Calibri" w:cs="Arial"/>
          <w:bCs/>
          <w:iCs/>
          <w:noProof/>
          <w:kern w:val="0"/>
          <w:lang w:val="mn-MN"/>
          <w14:ligatures w14:val="none"/>
        </w:rPr>
        <w:t xml:space="preserve">” </w:t>
      </w:r>
      <w:r w:rsidR="00C835E0" w:rsidRPr="00CC1276">
        <w:rPr>
          <w:rFonts w:eastAsia="Calibri" w:cs="Arial"/>
          <w:bCs/>
          <w:iCs/>
          <w:noProof/>
          <w:color w:val="0070C0"/>
          <w:kern w:val="0"/>
          <w:lang w:val="mn-MN"/>
          <w14:ligatures w14:val="none"/>
        </w:rPr>
        <w:t>гэх үндэслэлээр хяналтын журмаар гомдол гаргасан.</w:t>
      </w:r>
    </w:p>
    <w:p w14:paraId="1F37ABD5" w14:textId="59B2F2D0" w:rsidR="00D51240" w:rsidRPr="00CC1276" w:rsidRDefault="00D51240" w:rsidP="00D94D01">
      <w:pPr>
        <w:numPr>
          <w:ilvl w:val="0"/>
          <w:numId w:val="1"/>
        </w:numPr>
        <w:spacing w:after="0" w:line="240" w:lineRule="auto"/>
        <w:contextualSpacing/>
        <w:jc w:val="both"/>
        <w:rPr>
          <w:rFonts w:eastAsia="Calibri" w:cs="Arial"/>
          <w:bCs/>
          <w:noProof/>
          <w:kern w:val="0"/>
          <w:szCs w:val="24"/>
          <w:lang w:val="mn-MN"/>
          <w14:ligatures w14:val="none"/>
        </w:rPr>
      </w:pPr>
      <w:r w:rsidRPr="00CC1276">
        <w:rPr>
          <w:rFonts w:eastAsia="Calibri" w:cs="Arial"/>
          <w:b/>
          <w:i/>
          <w:noProof/>
          <w:kern w:val="0"/>
          <w:lang w:val="mn-MN"/>
          <w14:ligatures w14:val="none"/>
        </w:rPr>
        <w:t>Хяналтын шатны шүүхээс</w:t>
      </w:r>
      <w:r w:rsidRPr="00CC1276">
        <w:rPr>
          <w:rFonts w:eastAsia="Calibri" w:cs="Arial"/>
          <w:b/>
          <w:noProof/>
          <w:kern w:val="0"/>
          <w:lang w:val="mn-MN"/>
          <w14:ligatures w14:val="none"/>
        </w:rPr>
        <w:t xml:space="preserve">: </w:t>
      </w:r>
      <w:r w:rsidR="00D92DCD" w:rsidRPr="00CC1276">
        <w:rPr>
          <w:rFonts w:eastAsia="Calibri" w:cs="Arial"/>
          <w:bCs/>
          <w:noProof/>
          <w:kern w:val="0"/>
          <w:szCs w:val="24"/>
          <w:lang w:val="mn-MN"/>
          <w14:ligatures w14:val="none"/>
        </w:rPr>
        <w:t>Татварын ерөнхий хууль (2008)</w:t>
      </w:r>
      <w:r w:rsidR="00704E58" w:rsidRPr="00CC1276">
        <w:rPr>
          <w:rStyle w:val="FootnoteReference"/>
          <w:rFonts w:eastAsia="Calibri" w:cs="Arial"/>
          <w:bCs/>
          <w:noProof/>
          <w:kern w:val="0"/>
          <w:szCs w:val="24"/>
          <w:lang w:val="mn-MN"/>
          <w14:ligatures w14:val="none"/>
        </w:rPr>
        <w:footnoteReference w:id="4"/>
      </w:r>
      <w:r w:rsidR="00D92DCD" w:rsidRPr="00CC1276">
        <w:rPr>
          <w:rFonts w:eastAsia="Calibri" w:cs="Arial"/>
          <w:bCs/>
          <w:noProof/>
          <w:kern w:val="0"/>
          <w:szCs w:val="24"/>
          <w:lang w:val="mn-MN"/>
          <w14:ligatures w14:val="none"/>
        </w:rPr>
        <w:t>-ийн 17 дугаар зүйлийн 17.1-</w:t>
      </w:r>
      <w:r w:rsidR="00FE78B4" w:rsidRPr="00CC1276">
        <w:rPr>
          <w:rFonts w:eastAsia="Calibri" w:cs="Arial"/>
          <w:bCs/>
          <w:noProof/>
          <w:kern w:val="0"/>
          <w:szCs w:val="24"/>
          <w:lang w:val="mn-MN"/>
          <w14:ligatures w14:val="none"/>
        </w:rPr>
        <w:t>д</w:t>
      </w:r>
      <w:r w:rsidR="00D92DCD" w:rsidRPr="00CC1276">
        <w:rPr>
          <w:rFonts w:eastAsia="Calibri" w:cs="Arial"/>
          <w:bCs/>
          <w:noProof/>
          <w:kern w:val="0"/>
          <w:szCs w:val="24"/>
          <w:lang w:val="mn-MN"/>
          <w14:ligatures w14:val="none"/>
        </w:rPr>
        <w:t xml:space="preserve"> “Татвар төлөгч дараахь эрх эдэлнэ” гээд, 17.1.4-т “илүү төлсөн татварыг буцаан авах буюу суутган тооцуулах, алданги тооцон нэхэмжлэн авах” гэж, Татварын ерөнхий хууль (2019)</w:t>
      </w:r>
      <w:r w:rsidR="00284709" w:rsidRPr="00CC1276">
        <w:rPr>
          <w:rStyle w:val="FootnoteReference"/>
          <w:rFonts w:eastAsia="Calibri" w:cs="Arial"/>
          <w:bCs/>
          <w:noProof/>
          <w:kern w:val="0"/>
          <w:szCs w:val="24"/>
          <w:lang w:val="mn-MN"/>
          <w14:ligatures w14:val="none"/>
        </w:rPr>
        <w:footnoteReference w:id="5"/>
      </w:r>
      <w:r w:rsidR="00D92DCD" w:rsidRPr="00CC1276">
        <w:rPr>
          <w:rFonts w:eastAsia="Calibri" w:cs="Arial"/>
          <w:bCs/>
          <w:noProof/>
          <w:kern w:val="0"/>
          <w:szCs w:val="24"/>
          <w:lang w:val="mn-MN"/>
          <w14:ligatures w14:val="none"/>
        </w:rPr>
        <w:t xml:space="preserve">-ийн 12 дугаар зүйлийн 12.1.4-т “илүү төлсөн татварыг буцаан авах, суутган тооцуулах, алданги тооцон нэхэмжлэн авах” гэж татвар төлөгчийн үндсэн эрхийг тусгасан байх бөгөөд </w:t>
      </w:r>
      <w:r w:rsidR="00D92DCD" w:rsidRPr="00CC1276">
        <w:rPr>
          <w:rFonts w:eastAsia="Calibri" w:cs="Arial"/>
          <w:bCs/>
          <w:noProof/>
          <w:color w:val="0070C0"/>
          <w:kern w:val="0"/>
          <w:szCs w:val="24"/>
          <w:lang w:val="mn-MN"/>
          <w14:ligatures w14:val="none"/>
        </w:rPr>
        <w:t>аливаа эрхийг хуулиар тогтоосон журмын үндсэн дээр, тодорхой хөөн хэлэлцэх хугацааны дотор хэрэгжүүлэх учиртай</w:t>
      </w:r>
      <w:r w:rsidR="00D92DCD" w:rsidRPr="00CC1276">
        <w:rPr>
          <w:rFonts w:eastAsia="Calibri" w:cs="Arial"/>
          <w:bCs/>
          <w:noProof/>
          <w:kern w:val="0"/>
          <w:szCs w:val="24"/>
          <w:lang w:val="mn-MN"/>
          <w14:ligatures w14:val="none"/>
        </w:rPr>
        <w:t xml:space="preserve">. </w:t>
      </w:r>
      <w:r w:rsidRPr="00CC1276">
        <w:rPr>
          <w:rFonts w:eastAsia="Calibri" w:cs="Arial"/>
          <w:bCs/>
          <w:noProof/>
          <w:kern w:val="0"/>
          <w:szCs w:val="24"/>
          <w:lang w:val="mn-MN"/>
          <w14:ligatures w14:val="none"/>
        </w:rPr>
        <w:t>(</w:t>
      </w:r>
      <w:r w:rsidR="00D92DCD" w:rsidRPr="00CC1276">
        <w:rPr>
          <w:rFonts w:eastAsia="Calibri" w:cs="Arial"/>
          <w:bCs/>
          <w:noProof/>
          <w:kern w:val="0"/>
          <w:szCs w:val="24"/>
          <w:lang w:val="mn-MN"/>
          <w14:ligatures w14:val="none"/>
        </w:rPr>
        <w:t>10</w:t>
      </w:r>
      <w:r w:rsidRPr="00CC1276">
        <w:rPr>
          <w:rFonts w:eastAsia="Calibri" w:cs="Arial"/>
          <w:bCs/>
          <w:noProof/>
          <w:kern w:val="0"/>
          <w:szCs w:val="24"/>
          <w:lang w:val="mn-MN"/>
          <w14:ligatures w14:val="none"/>
        </w:rPr>
        <w:t>)</w:t>
      </w:r>
      <w:r w:rsidR="00AF0583" w:rsidRPr="00CC1276">
        <w:rPr>
          <w:rStyle w:val="FootnoteReference"/>
          <w:rFonts w:eastAsia="Calibri" w:cs="Arial"/>
          <w:bCs/>
          <w:noProof/>
          <w:kern w:val="0"/>
          <w:szCs w:val="24"/>
          <w:lang w:val="mn-MN"/>
          <w14:ligatures w14:val="none"/>
        </w:rPr>
        <w:footnoteReference w:id="6"/>
      </w:r>
    </w:p>
    <w:p w14:paraId="35C7C93F" w14:textId="19C23204" w:rsidR="00D51240" w:rsidRPr="00CC1276" w:rsidRDefault="0011518E" w:rsidP="00D94D01">
      <w:pPr>
        <w:numPr>
          <w:ilvl w:val="0"/>
          <w:numId w:val="1"/>
        </w:numPr>
        <w:spacing w:after="0" w:line="240" w:lineRule="auto"/>
        <w:contextualSpacing/>
        <w:jc w:val="both"/>
        <w:rPr>
          <w:rFonts w:eastAsia="Calibri" w:cs="Arial"/>
          <w:bCs/>
          <w:noProof/>
          <w:kern w:val="0"/>
          <w:szCs w:val="24"/>
          <w:lang w:val="mn-MN"/>
          <w14:ligatures w14:val="none"/>
        </w:rPr>
      </w:pPr>
      <w:r w:rsidRPr="00CC1276">
        <w:rPr>
          <w:rFonts w:eastAsia="Calibri" w:cs="Arial"/>
          <w:bCs/>
          <w:noProof/>
          <w:kern w:val="0"/>
          <w:szCs w:val="24"/>
          <w:lang w:val="mn-MN"/>
          <w14:ligatures w14:val="none"/>
        </w:rPr>
        <w:t xml:space="preserve">Нэхэмжлэгч 2005 оноос 2012 оны хугацаанд Монголбанканд тушаасан алтанд ашигт малтмалын нөөц ашигласны төлбөр төлсөн, ийнхүү </w:t>
      </w:r>
      <w:r w:rsidRPr="00CC1276">
        <w:rPr>
          <w:rFonts w:eastAsia="Calibri" w:cs="Arial"/>
          <w:bCs/>
          <w:noProof/>
          <w:color w:val="0070C0"/>
          <w:kern w:val="0"/>
          <w:szCs w:val="24"/>
          <w:lang w:val="mn-MN"/>
          <w14:ligatures w14:val="none"/>
        </w:rPr>
        <w:t>төлсөн татварыг үүнээс хойш 10-аас 15 жилийн хугацаа өнгөрсний дараа буцаан авахаар шаардсаныг шүүхээс хангах боломжгүй.</w:t>
      </w:r>
      <w:r w:rsidRPr="00CC1276">
        <w:rPr>
          <w:rFonts w:eastAsia="Calibri" w:cs="Arial"/>
          <w:bCs/>
          <w:noProof/>
          <w:kern w:val="0"/>
          <w:szCs w:val="24"/>
          <w:lang w:val="mn-MN"/>
          <w14:ligatures w14:val="none"/>
        </w:rPr>
        <w:t xml:space="preserve"> </w:t>
      </w:r>
      <w:r w:rsidR="00D51240" w:rsidRPr="00CC1276">
        <w:rPr>
          <w:rFonts w:eastAsia="Calibri" w:cs="Arial"/>
          <w:bCs/>
          <w:noProof/>
          <w:kern w:val="0"/>
          <w:szCs w:val="24"/>
          <w:lang w:val="mn-MN"/>
          <w14:ligatures w14:val="none"/>
        </w:rPr>
        <w:t>(</w:t>
      </w:r>
      <w:r w:rsidRPr="00CC1276">
        <w:rPr>
          <w:rFonts w:eastAsia="Calibri" w:cs="Arial"/>
          <w:bCs/>
          <w:noProof/>
          <w:kern w:val="0"/>
          <w:szCs w:val="24"/>
          <w:lang w:val="mn-MN"/>
          <w14:ligatures w14:val="none"/>
        </w:rPr>
        <w:t>11</w:t>
      </w:r>
      <w:r w:rsidR="00D51240" w:rsidRPr="00CC1276">
        <w:rPr>
          <w:rFonts w:eastAsia="Calibri" w:cs="Arial"/>
          <w:bCs/>
          <w:noProof/>
          <w:kern w:val="0"/>
          <w:szCs w:val="24"/>
          <w:lang w:val="mn-MN"/>
          <w14:ligatures w14:val="none"/>
        </w:rPr>
        <w:t>)</w:t>
      </w:r>
    </w:p>
    <w:p w14:paraId="0041C409" w14:textId="3BAA5D8B" w:rsidR="003C4193" w:rsidRPr="00CC1276" w:rsidRDefault="0011518E" w:rsidP="0011518E">
      <w:pPr>
        <w:numPr>
          <w:ilvl w:val="0"/>
          <w:numId w:val="1"/>
        </w:numPr>
        <w:spacing w:after="0" w:line="240" w:lineRule="auto"/>
        <w:contextualSpacing/>
        <w:jc w:val="both"/>
        <w:rPr>
          <w:noProof/>
          <w:lang w:val="mn-MN"/>
        </w:rPr>
      </w:pPr>
      <w:r w:rsidRPr="00CC1276">
        <w:rPr>
          <w:rFonts w:eastAsia="Calibri" w:cs="Arial"/>
          <w:bCs/>
          <w:noProof/>
          <w:kern w:val="0"/>
          <w:szCs w:val="24"/>
          <w:lang w:val="mn-MN"/>
          <w14:ligatures w14:val="none"/>
        </w:rPr>
        <w:t xml:space="preserve">Нэг үгээр хэлбэл үндэслэлгүй төлсөн гэж үзсэн татварыг буцаан авахад хуулиар тогтоосон журам, шат дараалал, түүнд хамаарах хугацааны шаардлагыг хангах ёстой байна. Улмаар Татварын ерөнхий хууль (2019)-ийн 15 дугаар зүйлийн 15.2-т “... татвар төлөгчид гаргасан хүсэлтийнх нь дагуу төлсөн татварыг буцаан олгохтой холбогдсон харилцаанд энэ хуулийн 15.1-д заасан хугацаа хамаарахгүй” буюу татварыг буцаан авах харилцаанд 4 жилийн хөөн хэлэлцэх хугацаа хамаарахгүй гэж зохицуулсан нь хөөн хэлэлцэх хугацаа үйлчлэхгүй </w:t>
      </w:r>
      <w:r w:rsidRPr="00CC1276">
        <w:rPr>
          <w:rFonts w:eastAsia="Calibri" w:cs="Arial"/>
          <w:bCs/>
          <w:noProof/>
          <w:kern w:val="0"/>
          <w:szCs w:val="24"/>
          <w:lang w:val="mn-MN"/>
          <w14:ligatures w14:val="none"/>
        </w:rPr>
        <w:lastRenderedPageBreak/>
        <w:t xml:space="preserve">гэсэн агуулга бус </w:t>
      </w:r>
      <w:r w:rsidRPr="00CC1276">
        <w:rPr>
          <w:rFonts w:eastAsia="Calibri" w:cs="Arial"/>
          <w:bCs/>
          <w:noProof/>
          <w:color w:val="0070C0"/>
          <w:kern w:val="0"/>
          <w:szCs w:val="24"/>
          <w:lang w:val="mn-MN"/>
          <w14:ligatures w14:val="none"/>
        </w:rPr>
        <w:t>угаас хуулиар хугацааг нарийвчлан заасан тул тус хугацааг баримтлахгүй гэсэн агуулгыг тусгасан</w:t>
      </w:r>
      <w:r w:rsidRPr="00CC1276">
        <w:rPr>
          <w:rFonts w:eastAsia="Calibri" w:cs="Arial"/>
          <w:bCs/>
          <w:noProof/>
          <w:kern w:val="0"/>
          <w:szCs w:val="24"/>
          <w:lang w:val="mn-MN"/>
          <w14:ligatures w14:val="none"/>
        </w:rPr>
        <w:t xml:space="preserve"> гэж үзэхээр байна. (13)</w:t>
      </w:r>
    </w:p>
    <w:p w14:paraId="4FC2C9D3" w14:textId="7E5F61D8" w:rsidR="0011518E" w:rsidRPr="00CC1276" w:rsidRDefault="0011518E" w:rsidP="0011518E">
      <w:pPr>
        <w:numPr>
          <w:ilvl w:val="0"/>
          <w:numId w:val="1"/>
        </w:numPr>
        <w:spacing w:after="0" w:line="240" w:lineRule="auto"/>
        <w:contextualSpacing/>
        <w:jc w:val="both"/>
        <w:rPr>
          <w:noProof/>
          <w:lang w:val="mn-MN"/>
        </w:rPr>
      </w:pPr>
      <w:r w:rsidRPr="00CC1276">
        <w:rPr>
          <w:noProof/>
          <w:lang w:val="mn-MN"/>
        </w:rPr>
        <w:t xml:space="preserve">Зохих татварын актыг хүлээн зөвшөөрч төлснөөр тухайн харилцаа дуусгавар болдог. Гэтэл, нэхэмжлэгч нь анх татварыг хүлээн зөвшөөрч төлж байсан атлаа </w:t>
      </w:r>
      <w:r w:rsidRPr="00CC1276">
        <w:rPr>
          <w:noProof/>
          <w:color w:val="0070C0"/>
          <w:lang w:val="mn-MN"/>
        </w:rPr>
        <w:t>тухайн харилцаа дуусгавар болж, дараа дараагийн харилцаа өрнөснөөс хойш татвар төлөх үүрэггүй байсан гэж маргаж буй нь үндэслэлгүй.</w:t>
      </w:r>
      <w:r w:rsidR="000C2196" w:rsidRPr="00CC1276">
        <w:rPr>
          <w:noProof/>
          <w:lang w:val="mn-MN"/>
        </w:rPr>
        <w:t xml:space="preserve"> (14)</w:t>
      </w:r>
    </w:p>
    <w:p w14:paraId="2213F57F" w14:textId="34636338" w:rsidR="00666707" w:rsidRDefault="00A60672" w:rsidP="0011518E">
      <w:pPr>
        <w:numPr>
          <w:ilvl w:val="0"/>
          <w:numId w:val="1"/>
        </w:numPr>
        <w:spacing w:after="0" w:line="240" w:lineRule="auto"/>
        <w:contextualSpacing/>
        <w:jc w:val="both"/>
        <w:rPr>
          <w:noProof/>
          <w:lang w:val="mn-MN"/>
        </w:rPr>
      </w:pPr>
      <w:r w:rsidRPr="00CC1276">
        <w:rPr>
          <w:noProof/>
          <w:lang w:val="mn-MN"/>
        </w:rPr>
        <w:t xml:space="preserve">Дээрх үндэслэлээр </w:t>
      </w:r>
      <w:r w:rsidR="004725F5" w:rsidRPr="00CC1276">
        <w:rPr>
          <w:noProof/>
          <w:lang w:val="mn-MN"/>
        </w:rPr>
        <w:t>давж заалдах шатны шүүхийн шийдвэрт хууль хэрэглээний өөрчлөлт оруулж, нэхэмжлэгчийн өмгөөлөгчийн давж заалдах журмаар гаргасан гомдлыг хангахгүй орхиж шийдвэрлэсэн байна.</w:t>
      </w:r>
    </w:p>
    <w:p w14:paraId="6279ADF7" w14:textId="77777777" w:rsidR="00666707" w:rsidRPr="0052636B" w:rsidRDefault="00666707" w:rsidP="0052636B">
      <w:pPr>
        <w:rPr>
          <w:lang w:val="mn-MN"/>
        </w:rPr>
      </w:pPr>
    </w:p>
    <w:p w14:paraId="20A55ECB" w14:textId="77777777" w:rsidR="00666707" w:rsidRPr="0052636B" w:rsidRDefault="00666707" w:rsidP="0052636B">
      <w:pPr>
        <w:rPr>
          <w:lang w:val="mn-MN"/>
        </w:rPr>
      </w:pPr>
    </w:p>
    <w:p w14:paraId="3D98CAB8" w14:textId="77777777" w:rsidR="00666707" w:rsidRPr="0052636B" w:rsidRDefault="00666707" w:rsidP="0052636B">
      <w:pPr>
        <w:rPr>
          <w:lang w:val="mn-MN"/>
        </w:rPr>
      </w:pPr>
    </w:p>
    <w:p w14:paraId="5A1C2B0E" w14:textId="77777777" w:rsidR="00666707" w:rsidRPr="0052636B" w:rsidRDefault="00666707" w:rsidP="0052636B">
      <w:pPr>
        <w:rPr>
          <w:lang w:val="mn-MN"/>
        </w:rPr>
      </w:pPr>
    </w:p>
    <w:p w14:paraId="63E23D46" w14:textId="05ACB06D" w:rsidR="00666707" w:rsidRDefault="00666707" w:rsidP="00666707">
      <w:pPr>
        <w:rPr>
          <w:lang w:val="mn-MN"/>
        </w:rPr>
      </w:pPr>
    </w:p>
    <w:p w14:paraId="44C8DA31" w14:textId="35A19B63" w:rsidR="00666707" w:rsidRDefault="00666707" w:rsidP="0052636B">
      <w:pPr>
        <w:ind w:left="720"/>
        <w:rPr>
          <w:szCs w:val="24"/>
          <w:lang w:val="mn-MN"/>
        </w:rPr>
      </w:pPr>
      <w:r>
        <w:rPr>
          <w:szCs w:val="24"/>
          <w:lang w:val="mn-MN"/>
        </w:rPr>
        <w:t xml:space="preserve">                                                       </w:t>
      </w:r>
      <w:r>
        <w:rPr>
          <w:szCs w:val="24"/>
          <w:lang w:val="mn-MN"/>
        </w:rPr>
        <w:t>---o0o---</w:t>
      </w:r>
    </w:p>
    <w:p w14:paraId="4CF8EE22" w14:textId="04D47276" w:rsidR="00A60672" w:rsidRPr="0052636B" w:rsidRDefault="00666707" w:rsidP="0052636B">
      <w:pPr>
        <w:tabs>
          <w:tab w:val="left" w:pos="3285"/>
        </w:tabs>
        <w:rPr>
          <w:lang w:val="mn-MN"/>
        </w:rPr>
      </w:pPr>
      <w:r>
        <w:rPr>
          <w:lang w:val="mn-MN"/>
        </w:rPr>
        <w:tab/>
      </w:r>
    </w:p>
    <w:sectPr w:rsidR="00A60672" w:rsidRPr="0052636B" w:rsidSect="00D51240">
      <w:headerReference w:type="default" r:id="rId8"/>
      <w:pgSz w:w="11906" w:h="16838" w:code="9"/>
      <w:pgMar w:top="1134" w:right="851" w:bottom="1134" w:left="1701"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B8C591" w16cex:dateUtc="2025-06-18T09: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A4A5A" w14:textId="77777777" w:rsidR="00CA5D71" w:rsidRDefault="00CA5D71" w:rsidP="00D51240">
      <w:pPr>
        <w:spacing w:after="0" w:line="240" w:lineRule="auto"/>
      </w:pPr>
      <w:r>
        <w:separator/>
      </w:r>
    </w:p>
  </w:endnote>
  <w:endnote w:type="continuationSeparator" w:id="0">
    <w:p w14:paraId="03C4A32B" w14:textId="77777777" w:rsidR="00CA5D71" w:rsidRDefault="00CA5D71" w:rsidP="00D51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3974B" w14:textId="77777777" w:rsidR="00CA5D71" w:rsidRDefault="00CA5D71" w:rsidP="00D51240">
      <w:pPr>
        <w:spacing w:after="0" w:line="240" w:lineRule="auto"/>
      </w:pPr>
      <w:r>
        <w:separator/>
      </w:r>
    </w:p>
  </w:footnote>
  <w:footnote w:type="continuationSeparator" w:id="0">
    <w:p w14:paraId="41E90E0F" w14:textId="77777777" w:rsidR="00CA5D71" w:rsidRDefault="00CA5D71" w:rsidP="00D51240">
      <w:pPr>
        <w:spacing w:after="0" w:line="240" w:lineRule="auto"/>
      </w:pPr>
      <w:r>
        <w:continuationSeparator/>
      </w:r>
    </w:p>
  </w:footnote>
  <w:footnote w:id="1">
    <w:p w14:paraId="297612CD" w14:textId="490C46E3" w:rsidR="00D51240" w:rsidRPr="00957F78" w:rsidRDefault="00D51240" w:rsidP="00016173">
      <w:pPr>
        <w:spacing w:after="0"/>
        <w:jc w:val="both"/>
        <w:rPr>
          <w:noProof/>
          <w:sz w:val="20"/>
          <w:szCs w:val="20"/>
          <w:lang w:val="mn-MN"/>
        </w:rPr>
      </w:pPr>
      <w:r w:rsidRPr="00957F78">
        <w:rPr>
          <w:rStyle w:val="FootnoteReference"/>
          <w:sz w:val="20"/>
          <w:szCs w:val="20"/>
        </w:rPr>
        <w:footnoteRef/>
      </w:r>
      <w:r w:rsidRPr="00957F78">
        <w:rPr>
          <w:sz w:val="20"/>
          <w:szCs w:val="20"/>
        </w:rPr>
        <w:t xml:space="preserve"> </w:t>
      </w:r>
      <w:r w:rsidRPr="00957F78">
        <w:rPr>
          <w:noProof/>
          <w:sz w:val="20"/>
          <w:szCs w:val="20"/>
          <w:lang w:val="mn-MN"/>
        </w:rPr>
        <w:t>Шүүхийн шийдвэрийг бү</w:t>
      </w:r>
      <w:r w:rsidR="00AE0082" w:rsidRPr="00957F78">
        <w:rPr>
          <w:noProof/>
          <w:sz w:val="20"/>
          <w:szCs w:val="20"/>
          <w:lang w:val="mn-MN"/>
        </w:rPr>
        <w:t>рэн эхээр</w:t>
      </w:r>
      <w:r w:rsidRPr="00957F78">
        <w:rPr>
          <w:noProof/>
          <w:sz w:val="20"/>
          <w:szCs w:val="20"/>
          <w:lang w:val="mn-MN"/>
        </w:rPr>
        <w:t xml:space="preserve"> үзэх холбоос: </w:t>
      </w:r>
      <w:hyperlink r:id="rId1" w:history="1">
        <w:r w:rsidR="00957F78" w:rsidRPr="00957F78">
          <w:rPr>
            <w:rStyle w:val="Hyperlink"/>
            <w:noProof/>
            <w:sz w:val="20"/>
            <w:szCs w:val="20"/>
            <w:lang w:val="mn-MN"/>
          </w:rPr>
          <w:t>https://shuukh.mn/single_case/3364?start_date=&amp;end_date=&amp;id=3&amp;court_cat=3&amp;bb=1</w:t>
        </w:r>
      </w:hyperlink>
      <w:r w:rsidR="00957F78" w:rsidRPr="00957F78">
        <w:rPr>
          <w:noProof/>
          <w:sz w:val="20"/>
          <w:szCs w:val="20"/>
          <w:lang w:val="mn-MN"/>
        </w:rPr>
        <w:t xml:space="preserve"> </w:t>
      </w:r>
    </w:p>
  </w:footnote>
  <w:footnote w:id="2">
    <w:p w14:paraId="32D807B5" w14:textId="77777777" w:rsidR="008B7A75" w:rsidRPr="008B7A75" w:rsidRDefault="008B7A75" w:rsidP="008B7A75">
      <w:pPr>
        <w:pStyle w:val="FootnoteText"/>
        <w:rPr>
          <w:noProof/>
          <w:lang w:val="mn-MN"/>
        </w:rPr>
      </w:pPr>
      <w:r w:rsidRPr="008B7A75">
        <w:rPr>
          <w:rStyle w:val="FootnoteReference"/>
          <w:noProof/>
          <w:lang w:val="mn-MN"/>
        </w:rPr>
        <w:footnoteRef/>
      </w:r>
      <w:r w:rsidRPr="008B7A75">
        <w:rPr>
          <w:noProof/>
          <w:lang w:val="mn-MN"/>
        </w:rPr>
        <w:t xml:space="preserve"> </w:t>
      </w:r>
      <w:r w:rsidRPr="008B7A75">
        <w:rPr>
          <w:i/>
          <w:iCs/>
          <w:noProof/>
          <w:lang w:val="mn-MN"/>
        </w:rPr>
        <w:t>Төрийн мэдээлэл эмхэтгэл</w:t>
      </w:r>
      <w:r w:rsidRPr="008B7A75">
        <w:rPr>
          <w:noProof/>
          <w:lang w:val="mn-MN"/>
        </w:rPr>
        <w:t xml:space="preserve"> (2006 он) №30.</w:t>
      </w:r>
    </w:p>
  </w:footnote>
  <w:footnote w:id="3">
    <w:p w14:paraId="7019BB40" w14:textId="0B5C9671" w:rsidR="001F2FEE" w:rsidRPr="00A22488" w:rsidRDefault="001F2FEE" w:rsidP="00A22488">
      <w:pPr>
        <w:pStyle w:val="FootnoteText"/>
        <w:jc w:val="both"/>
        <w:rPr>
          <w:lang w:val="mn-MN"/>
        </w:rPr>
      </w:pPr>
      <w:r>
        <w:rPr>
          <w:rStyle w:val="FootnoteReference"/>
        </w:rPr>
        <w:footnoteRef/>
      </w:r>
      <w:r w:rsidRPr="00A22488">
        <w:rPr>
          <w:lang w:val="mn-MN"/>
        </w:rPr>
        <w:t xml:space="preserve"> </w:t>
      </w:r>
      <w:r w:rsidR="00A22488">
        <w:rPr>
          <w:lang w:val="mn-MN"/>
        </w:rPr>
        <w:t xml:space="preserve">Ашигт малтмалын тухай хуулийн 47 дугаар зүйлийн 47.1 дэх хэсэг </w:t>
      </w:r>
      <w:r w:rsidR="00A22488" w:rsidRPr="00A22488">
        <w:rPr>
          <w:lang w:val="mn-MN"/>
        </w:rPr>
        <w:t>“</w:t>
      </w:r>
      <w:r w:rsidR="00A22488" w:rsidRPr="00A22488">
        <w:rPr>
          <w:i/>
          <w:iCs/>
          <w:lang w:val="mn-MN"/>
        </w:rPr>
        <w:t>Доор дурдсан этгээд ашигт малтмалын нөөц ашигласны төлбөр төлөгч байна:</w:t>
      </w:r>
      <w:r w:rsidR="00A22488">
        <w:rPr>
          <w:lang w:val="mn-MN"/>
        </w:rPr>
        <w:t>”</w:t>
      </w:r>
    </w:p>
  </w:footnote>
  <w:footnote w:id="4">
    <w:p w14:paraId="04DFEEAD" w14:textId="59B39418" w:rsidR="00284709" w:rsidRPr="00991F13" w:rsidRDefault="00704E58">
      <w:pPr>
        <w:pStyle w:val="FootnoteText"/>
        <w:rPr>
          <w:noProof/>
          <w:lang w:val="mn-MN"/>
        </w:rPr>
      </w:pPr>
      <w:r w:rsidRPr="00991F13">
        <w:rPr>
          <w:rStyle w:val="FootnoteReference"/>
          <w:noProof/>
          <w:lang w:val="mn-MN"/>
        </w:rPr>
        <w:footnoteRef/>
      </w:r>
      <w:r w:rsidRPr="00991F13">
        <w:rPr>
          <w:noProof/>
          <w:lang w:val="mn-MN"/>
        </w:rPr>
        <w:t xml:space="preserve"> </w:t>
      </w:r>
      <w:r w:rsidRPr="00991F13">
        <w:rPr>
          <w:i/>
          <w:iCs/>
          <w:noProof/>
          <w:lang w:val="mn-MN"/>
        </w:rPr>
        <w:t>Төрийн мэдээлэл эмхэтгэл</w:t>
      </w:r>
      <w:r w:rsidR="00284709" w:rsidRPr="00991F13">
        <w:rPr>
          <w:noProof/>
          <w:lang w:val="mn-MN"/>
        </w:rPr>
        <w:t xml:space="preserve"> (2008) №22.</w:t>
      </w:r>
    </w:p>
  </w:footnote>
  <w:footnote w:id="5">
    <w:p w14:paraId="6D3556A4" w14:textId="5043F24F" w:rsidR="00284709" w:rsidRPr="00991F13" w:rsidRDefault="00284709">
      <w:pPr>
        <w:pStyle w:val="FootnoteText"/>
        <w:rPr>
          <w:noProof/>
          <w:lang w:val="mn-MN"/>
        </w:rPr>
      </w:pPr>
      <w:r w:rsidRPr="00991F13">
        <w:rPr>
          <w:rStyle w:val="FootnoteReference"/>
          <w:noProof/>
          <w:lang w:val="mn-MN"/>
        </w:rPr>
        <w:footnoteRef/>
      </w:r>
      <w:r w:rsidRPr="00991F13">
        <w:rPr>
          <w:noProof/>
          <w:lang w:val="mn-MN"/>
        </w:rPr>
        <w:t xml:space="preserve"> </w:t>
      </w:r>
      <w:r w:rsidRPr="00991F13">
        <w:rPr>
          <w:i/>
          <w:iCs/>
          <w:noProof/>
          <w:lang w:val="mn-MN"/>
        </w:rPr>
        <w:t>Төрийн мэдээлэл эмхэтгэл</w:t>
      </w:r>
      <w:r w:rsidRPr="00991F13">
        <w:rPr>
          <w:noProof/>
          <w:lang w:val="mn-MN"/>
        </w:rPr>
        <w:t xml:space="preserve"> (2019) №22.</w:t>
      </w:r>
    </w:p>
  </w:footnote>
  <w:footnote w:id="6">
    <w:p w14:paraId="6474C18D" w14:textId="21496C5C" w:rsidR="00AF0583" w:rsidRPr="00AF0583" w:rsidRDefault="00AF0583" w:rsidP="000E7BB6">
      <w:pPr>
        <w:pStyle w:val="FootnoteText"/>
        <w:jc w:val="both"/>
        <w:rPr>
          <w:lang w:val="mn-MN"/>
        </w:rPr>
      </w:pPr>
      <w:r w:rsidRPr="00991F13">
        <w:rPr>
          <w:rStyle w:val="FootnoteReference"/>
          <w:noProof/>
          <w:lang w:val="mn-MN"/>
        </w:rPr>
        <w:footnoteRef/>
      </w:r>
      <w:r w:rsidRPr="00991F13">
        <w:rPr>
          <w:noProof/>
          <w:lang w:val="mn-MN"/>
        </w:rPr>
        <w:t xml:space="preserve"> “Хууль хэрэглээ, шүүхийн шийдвэр” хэсгийн өгүүлбэрийн төгсгөлд бичигдсэн </w:t>
      </w:r>
      <w:r w:rsidR="000E7BB6" w:rsidRPr="00991F13">
        <w:rPr>
          <w:noProof/>
          <w:lang w:val="mn-MN"/>
        </w:rPr>
        <w:t xml:space="preserve">хаалт доторх </w:t>
      </w:r>
      <w:r w:rsidRPr="00991F13">
        <w:rPr>
          <w:noProof/>
          <w:lang w:val="mn-MN"/>
        </w:rPr>
        <w:t>дугаарлалт нь шүүхийн эх шийдвэрийн цогцолборын дугаар болно.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8445F" w14:textId="77777777" w:rsidR="002032EB" w:rsidRPr="0067693A" w:rsidRDefault="00044AE1">
    <w:pPr>
      <w:pStyle w:val="Header"/>
    </w:pPr>
    <w:r>
      <w:rPr>
        <w:noProof/>
      </w:rPr>
      <w:drawing>
        <wp:anchor distT="0" distB="0" distL="114300" distR="114300" simplePos="0" relativeHeight="251660288" behindDoc="0" locked="0" layoutInCell="1" allowOverlap="1" wp14:anchorId="7C9AAEB0" wp14:editId="552C8AAD">
          <wp:simplePos x="0" y="0"/>
          <wp:positionH relativeFrom="column">
            <wp:posOffset>-280035</wp:posOffset>
          </wp:positionH>
          <wp:positionV relativeFrom="paragraph">
            <wp:posOffset>-428625</wp:posOffset>
          </wp:positionV>
          <wp:extent cx="809625" cy="809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үүхийн академи лого.png"/>
                  <pic:cNvPicPr/>
                </pic:nvPicPr>
                <pic:blipFill>
                  <a:blip r:embed="rId1">
                    <a:extLst>
                      <a:ext uri="{28A0092B-C50C-407E-A947-70E740481C1C}">
                        <a14:useLocalDpi xmlns:a14="http://schemas.microsoft.com/office/drawing/2010/main" val="0"/>
                      </a:ext>
                    </a:extLst>
                  </a:blip>
                  <a:stretch>
                    <a:fillRect/>
                  </a:stretch>
                </pic:blipFill>
                <pic:spPr>
                  <a:xfrm flipH="1">
                    <a:off x="0" y="0"/>
                    <a:ext cx="809625" cy="809625"/>
                  </a:xfrm>
                  <a:prstGeom prst="rect">
                    <a:avLst/>
                  </a:prstGeom>
                </pic:spPr>
              </pic:pic>
            </a:graphicData>
          </a:graphic>
          <wp14:sizeRelH relativeFrom="margin">
            <wp14:pctWidth>0</wp14:pctWidth>
          </wp14:sizeRelH>
          <wp14:sizeRelV relativeFrom="margin">
            <wp14:pctHeight>0</wp14:pctHeight>
          </wp14:sizeRelV>
        </wp:anchor>
      </w:drawing>
    </w:r>
    <w:r w:rsidRPr="0067693A">
      <w:rPr>
        <w:noProof/>
      </w:rPr>
      <mc:AlternateContent>
        <mc:Choice Requires="wps">
          <w:drawing>
            <wp:anchor distT="45720" distB="45720" distL="114300" distR="114300" simplePos="0" relativeHeight="251659264" behindDoc="0" locked="0" layoutInCell="1" allowOverlap="1" wp14:anchorId="28D0E8B0" wp14:editId="717B799B">
              <wp:simplePos x="0" y="0"/>
              <wp:positionH relativeFrom="column">
                <wp:posOffset>577215</wp:posOffset>
              </wp:positionH>
              <wp:positionV relativeFrom="paragraph">
                <wp:posOffset>-161925</wp:posOffset>
              </wp:positionV>
              <wp:extent cx="5267325" cy="2667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66700"/>
                      </a:xfrm>
                      <a:prstGeom prst="rect">
                        <a:avLst/>
                      </a:prstGeom>
                      <a:solidFill>
                        <a:srgbClr val="5B9BD5"/>
                      </a:solidFill>
                      <a:ln w="9525">
                        <a:noFill/>
                        <a:miter lim="800000"/>
                        <a:headEnd/>
                        <a:tailEnd/>
                      </a:ln>
                    </wps:spPr>
                    <wps:txbx>
                      <w:txbxContent>
                        <w:p w14:paraId="78B801C1" w14:textId="77777777" w:rsidR="002032EB" w:rsidRPr="00D51240" w:rsidRDefault="00044AE1">
                          <w:pPr>
                            <w:rPr>
                              <w:color w:val="FFFFFF"/>
                              <w:sz w:val="20"/>
                            </w:rPr>
                          </w:pPr>
                          <w:r w:rsidRPr="00D51240">
                            <w:rPr>
                              <w:color w:val="FFFFFF"/>
                              <w:sz w:val="18"/>
                              <w:lang w:val="mn-MN"/>
                            </w:rPr>
                            <w:t>ШҮҮХИЙН СУРГАЛТ, СУДАЛГАА, МЭДЭЭЛЛИЙН АКАДЕМИ</w:t>
                          </w:r>
                          <w:r w:rsidRPr="00D51240">
                            <w:rPr>
                              <w:color w:val="FFFFFF"/>
                              <w:sz w:val="18"/>
                            </w:rPr>
                            <w:t xml:space="preserve">             </w:t>
                          </w:r>
                          <w:r w:rsidRPr="00D51240">
                            <w:rPr>
                              <w:color w:val="FFFFFF"/>
                              <w:sz w:val="20"/>
                            </w:rPr>
                            <w:t xml:space="preserve">             info@jtrii.gov.mn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D0E8B0" id="_x0000_t202" coordsize="21600,21600" o:spt="202" path="m,l,21600r21600,l21600,xe">
              <v:stroke joinstyle="miter"/>
              <v:path gradientshapeok="t" o:connecttype="rect"/>
            </v:shapetype>
            <v:shape id="Text Box 2" o:spid="_x0000_s1026" type="#_x0000_t202" style="position:absolute;margin-left:45.45pt;margin-top:-12.75pt;width:414.7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" fillcolor="#5b9bd5" stroked="f">
              <v:textbox>
                <w:txbxContent>
                  <w:p w14:paraId="78B801C1" w14:textId="77777777" w:rsidR="002032EB" w:rsidRPr="00D51240" w:rsidRDefault="00044AE1">
                    <w:pPr>
                      <w:rPr>
                        <w:color w:val="FFFFFF"/>
                        <w:sz w:val="20"/>
                      </w:rPr>
                    </w:pPr>
                    <w:r w:rsidRPr="00D51240">
                      <w:rPr>
                        <w:color w:val="FFFFFF"/>
                        <w:sz w:val="18"/>
                        <w:lang w:val="mn-MN"/>
                      </w:rPr>
                      <w:t>ШҮҮХИЙН СУРГАЛТ, СУДАЛГАА, МЭДЭЭЛЛИЙН АКАДЕМИ</w:t>
                    </w:r>
                    <w:r w:rsidRPr="00D51240">
                      <w:rPr>
                        <w:color w:val="FFFFFF"/>
                        <w:sz w:val="18"/>
                      </w:rPr>
                      <w:t xml:space="preserve">             </w:t>
                    </w:r>
                    <w:r w:rsidRPr="00D51240">
                      <w:rPr>
                        <w:color w:val="FFFFFF"/>
                        <w:sz w:val="20"/>
                      </w:rPr>
                      <w:t xml:space="preserve">             info@jtrii.gov.mn</w:t>
                    </w:r>
                  </w:p>
                </w:txbxContent>
              </v:textbox>
              <w10:wrap type="square"/>
            </v:shape>
          </w:pict>
        </mc:Fallback>
      </mc:AlternateContent>
    </w:r>
  </w:p>
  <w:p w14:paraId="11D3C2B6" w14:textId="77777777" w:rsidR="002032EB" w:rsidRPr="0067693A" w:rsidRDefault="00203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6A4"/>
    <w:multiLevelType w:val="hybridMultilevel"/>
    <w:tmpl w:val="9446BA68"/>
    <w:lvl w:ilvl="0" w:tplc="AE7C7680">
      <w:start w:val="1"/>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E6"/>
    <w:rsid w:val="00016173"/>
    <w:rsid w:val="00016ED2"/>
    <w:rsid w:val="000266BE"/>
    <w:rsid w:val="000343C2"/>
    <w:rsid w:val="00044AE1"/>
    <w:rsid w:val="00045DBC"/>
    <w:rsid w:val="00057310"/>
    <w:rsid w:val="00071BC6"/>
    <w:rsid w:val="00071DC7"/>
    <w:rsid w:val="00076E5E"/>
    <w:rsid w:val="00082913"/>
    <w:rsid w:val="000902E6"/>
    <w:rsid w:val="000A390B"/>
    <w:rsid w:val="000C0059"/>
    <w:rsid w:val="000C2196"/>
    <w:rsid w:val="000D6EE8"/>
    <w:rsid w:val="000E3173"/>
    <w:rsid w:val="000E7BB6"/>
    <w:rsid w:val="0011518E"/>
    <w:rsid w:val="00122D4B"/>
    <w:rsid w:val="00150A6B"/>
    <w:rsid w:val="0017287F"/>
    <w:rsid w:val="001D16A4"/>
    <w:rsid w:val="001F2FEE"/>
    <w:rsid w:val="002032EB"/>
    <w:rsid w:val="002067AD"/>
    <w:rsid w:val="002209A8"/>
    <w:rsid w:val="002374C1"/>
    <w:rsid w:val="00264D86"/>
    <w:rsid w:val="00284709"/>
    <w:rsid w:val="002B206A"/>
    <w:rsid w:val="002B4CEE"/>
    <w:rsid w:val="002F4148"/>
    <w:rsid w:val="0032028A"/>
    <w:rsid w:val="00375176"/>
    <w:rsid w:val="00384F14"/>
    <w:rsid w:val="003B0574"/>
    <w:rsid w:val="003C4193"/>
    <w:rsid w:val="00410BE7"/>
    <w:rsid w:val="004725F5"/>
    <w:rsid w:val="00493CD3"/>
    <w:rsid w:val="004A5715"/>
    <w:rsid w:val="004C01DA"/>
    <w:rsid w:val="004E70C4"/>
    <w:rsid w:val="004E7694"/>
    <w:rsid w:val="005159A6"/>
    <w:rsid w:val="00517EAA"/>
    <w:rsid w:val="0052636B"/>
    <w:rsid w:val="0054387D"/>
    <w:rsid w:val="00566290"/>
    <w:rsid w:val="00567AE7"/>
    <w:rsid w:val="005A088E"/>
    <w:rsid w:val="005A5452"/>
    <w:rsid w:val="005D6405"/>
    <w:rsid w:val="005E27F6"/>
    <w:rsid w:val="006054F9"/>
    <w:rsid w:val="00620DB0"/>
    <w:rsid w:val="006234FE"/>
    <w:rsid w:val="0065516C"/>
    <w:rsid w:val="00666707"/>
    <w:rsid w:val="00682D59"/>
    <w:rsid w:val="006A1799"/>
    <w:rsid w:val="006A50D4"/>
    <w:rsid w:val="006A5509"/>
    <w:rsid w:val="00703197"/>
    <w:rsid w:val="00704444"/>
    <w:rsid w:val="00704E58"/>
    <w:rsid w:val="00731D61"/>
    <w:rsid w:val="00750F42"/>
    <w:rsid w:val="00765487"/>
    <w:rsid w:val="007807B2"/>
    <w:rsid w:val="007B7E70"/>
    <w:rsid w:val="007C538C"/>
    <w:rsid w:val="007E6A09"/>
    <w:rsid w:val="00812DF5"/>
    <w:rsid w:val="008345E0"/>
    <w:rsid w:val="00840504"/>
    <w:rsid w:val="008437E8"/>
    <w:rsid w:val="00855201"/>
    <w:rsid w:val="00872782"/>
    <w:rsid w:val="00876293"/>
    <w:rsid w:val="008A3B3E"/>
    <w:rsid w:val="008B6EFA"/>
    <w:rsid w:val="008B7A75"/>
    <w:rsid w:val="008C6F7A"/>
    <w:rsid w:val="008F2B8E"/>
    <w:rsid w:val="00935A76"/>
    <w:rsid w:val="0094615F"/>
    <w:rsid w:val="00957F78"/>
    <w:rsid w:val="0096424A"/>
    <w:rsid w:val="00991F13"/>
    <w:rsid w:val="009C7088"/>
    <w:rsid w:val="009E33F9"/>
    <w:rsid w:val="00A044F9"/>
    <w:rsid w:val="00A13EF9"/>
    <w:rsid w:val="00A15013"/>
    <w:rsid w:val="00A17326"/>
    <w:rsid w:val="00A22488"/>
    <w:rsid w:val="00A42B91"/>
    <w:rsid w:val="00A4329F"/>
    <w:rsid w:val="00A60672"/>
    <w:rsid w:val="00A66E42"/>
    <w:rsid w:val="00A76DAE"/>
    <w:rsid w:val="00A907AC"/>
    <w:rsid w:val="00AB252B"/>
    <w:rsid w:val="00AD76AB"/>
    <w:rsid w:val="00AE0082"/>
    <w:rsid w:val="00AF0583"/>
    <w:rsid w:val="00B15E53"/>
    <w:rsid w:val="00B533DC"/>
    <w:rsid w:val="00B802C4"/>
    <w:rsid w:val="00B8557D"/>
    <w:rsid w:val="00B9074F"/>
    <w:rsid w:val="00BA2F12"/>
    <w:rsid w:val="00BF7B07"/>
    <w:rsid w:val="00C24B06"/>
    <w:rsid w:val="00C80491"/>
    <w:rsid w:val="00C835E0"/>
    <w:rsid w:val="00CA5D71"/>
    <w:rsid w:val="00CB4088"/>
    <w:rsid w:val="00CB46C0"/>
    <w:rsid w:val="00CC1276"/>
    <w:rsid w:val="00CD2905"/>
    <w:rsid w:val="00CD356B"/>
    <w:rsid w:val="00CF26E1"/>
    <w:rsid w:val="00D0769D"/>
    <w:rsid w:val="00D107F8"/>
    <w:rsid w:val="00D50FA8"/>
    <w:rsid w:val="00D51240"/>
    <w:rsid w:val="00D60197"/>
    <w:rsid w:val="00D92DCD"/>
    <w:rsid w:val="00D934A2"/>
    <w:rsid w:val="00D94D01"/>
    <w:rsid w:val="00D975C7"/>
    <w:rsid w:val="00DD4994"/>
    <w:rsid w:val="00DE7401"/>
    <w:rsid w:val="00E028D0"/>
    <w:rsid w:val="00E17E24"/>
    <w:rsid w:val="00E404DA"/>
    <w:rsid w:val="00E82B16"/>
    <w:rsid w:val="00EB367C"/>
    <w:rsid w:val="00F00725"/>
    <w:rsid w:val="00F26080"/>
    <w:rsid w:val="00F866FD"/>
    <w:rsid w:val="00F9336B"/>
    <w:rsid w:val="00FA1D63"/>
    <w:rsid w:val="00FA620B"/>
    <w:rsid w:val="00FB483C"/>
    <w:rsid w:val="00FC3D7C"/>
    <w:rsid w:val="00FC7110"/>
    <w:rsid w:val="00FD2B86"/>
    <w:rsid w:val="00FD5FDE"/>
    <w:rsid w:val="00FE78B4"/>
    <w:rsid w:val="00FF0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C183D"/>
  <w15:chartTrackingRefBased/>
  <w15:docId w15:val="{85A33C7B-F844-4B3D-8715-73DCE4CE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2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02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02E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02E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902E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902E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902E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902E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902E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2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02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02E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02E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902E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902E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902E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902E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902E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902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2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2E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2E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902E6"/>
    <w:pPr>
      <w:spacing w:before="160"/>
      <w:jc w:val="center"/>
    </w:pPr>
    <w:rPr>
      <w:i/>
      <w:iCs/>
      <w:color w:val="404040" w:themeColor="text1" w:themeTint="BF"/>
    </w:rPr>
  </w:style>
  <w:style w:type="character" w:customStyle="1" w:styleId="QuoteChar">
    <w:name w:val="Quote Char"/>
    <w:basedOn w:val="DefaultParagraphFont"/>
    <w:link w:val="Quote"/>
    <w:uiPriority w:val="29"/>
    <w:rsid w:val="000902E6"/>
    <w:rPr>
      <w:i/>
      <w:iCs/>
      <w:color w:val="404040" w:themeColor="text1" w:themeTint="BF"/>
    </w:rPr>
  </w:style>
  <w:style w:type="paragraph" w:styleId="ListParagraph">
    <w:name w:val="List Paragraph"/>
    <w:basedOn w:val="Normal"/>
    <w:uiPriority w:val="34"/>
    <w:qFormat/>
    <w:rsid w:val="000902E6"/>
    <w:pPr>
      <w:ind w:left="720"/>
      <w:contextualSpacing/>
    </w:pPr>
  </w:style>
  <w:style w:type="character" w:styleId="IntenseEmphasis">
    <w:name w:val="Intense Emphasis"/>
    <w:basedOn w:val="DefaultParagraphFont"/>
    <w:uiPriority w:val="21"/>
    <w:qFormat/>
    <w:rsid w:val="000902E6"/>
    <w:rPr>
      <w:i/>
      <w:iCs/>
      <w:color w:val="2F5496" w:themeColor="accent1" w:themeShade="BF"/>
    </w:rPr>
  </w:style>
  <w:style w:type="paragraph" w:styleId="IntenseQuote">
    <w:name w:val="Intense Quote"/>
    <w:basedOn w:val="Normal"/>
    <w:next w:val="Normal"/>
    <w:link w:val="IntenseQuoteChar"/>
    <w:uiPriority w:val="30"/>
    <w:qFormat/>
    <w:rsid w:val="000902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02E6"/>
    <w:rPr>
      <w:i/>
      <w:iCs/>
      <w:color w:val="2F5496" w:themeColor="accent1" w:themeShade="BF"/>
    </w:rPr>
  </w:style>
  <w:style w:type="character" w:styleId="IntenseReference">
    <w:name w:val="Intense Reference"/>
    <w:basedOn w:val="DefaultParagraphFont"/>
    <w:uiPriority w:val="32"/>
    <w:qFormat/>
    <w:rsid w:val="000902E6"/>
    <w:rPr>
      <w:b/>
      <w:bCs/>
      <w:smallCaps/>
      <w:color w:val="2F5496" w:themeColor="accent1" w:themeShade="BF"/>
      <w:spacing w:val="5"/>
    </w:rPr>
  </w:style>
  <w:style w:type="paragraph" w:styleId="Header">
    <w:name w:val="header"/>
    <w:basedOn w:val="Normal"/>
    <w:link w:val="HeaderChar"/>
    <w:uiPriority w:val="99"/>
    <w:semiHidden/>
    <w:unhideWhenUsed/>
    <w:rsid w:val="00D512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1240"/>
  </w:style>
  <w:style w:type="character" w:customStyle="1" w:styleId="Hyperlink1">
    <w:name w:val="Hyperlink1"/>
    <w:basedOn w:val="DefaultParagraphFont"/>
    <w:uiPriority w:val="99"/>
    <w:unhideWhenUsed/>
    <w:rsid w:val="00D51240"/>
    <w:rPr>
      <w:color w:val="0563C1"/>
      <w:u w:val="single"/>
    </w:rPr>
  </w:style>
  <w:style w:type="character" w:styleId="FootnoteReference">
    <w:name w:val="footnote reference"/>
    <w:basedOn w:val="DefaultParagraphFont"/>
    <w:uiPriority w:val="99"/>
    <w:semiHidden/>
    <w:unhideWhenUsed/>
    <w:rsid w:val="00D51240"/>
    <w:rPr>
      <w:vertAlign w:val="superscript"/>
    </w:rPr>
  </w:style>
  <w:style w:type="paragraph" w:customStyle="1" w:styleId="FootnoteText1">
    <w:name w:val="Footnote Text1"/>
    <w:basedOn w:val="Normal"/>
    <w:next w:val="FootnoteText"/>
    <w:link w:val="FootnoteTextChar"/>
    <w:uiPriority w:val="99"/>
    <w:semiHidden/>
    <w:unhideWhenUsed/>
    <w:rsid w:val="00D51240"/>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D51240"/>
    <w:rPr>
      <w:sz w:val="20"/>
      <w:szCs w:val="20"/>
    </w:rPr>
  </w:style>
  <w:style w:type="character" w:styleId="Hyperlink">
    <w:name w:val="Hyperlink"/>
    <w:basedOn w:val="DefaultParagraphFont"/>
    <w:uiPriority w:val="99"/>
    <w:unhideWhenUsed/>
    <w:rsid w:val="00D51240"/>
    <w:rPr>
      <w:color w:val="0563C1" w:themeColor="hyperlink"/>
      <w:u w:val="single"/>
    </w:rPr>
  </w:style>
  <w:style w:type="paragraph" w:styleId="FootnoteText">
    <w:name w:val="footnote text"/>
    <w:basedOn w:val="Normal"/>
    <w:link w:val="FootnoteTextChar1"/>
    <w:uiPriority w:val="99"/>
    <w:semiHidden/>
    <w:unhideWhenUsed/>
    <w:rsid w:val="00D51240"/>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D51240"/>
    <w:rPr>
      <w:sz w:val="20"/>
      <w:szCs w:val="20"/>
    </w:rPr>
  </w:style>
  <w:style w:type="character" w:styleId="UnresolvedMention">
    <w:name w:val="Unresolved Mention"/>
    <w:basedOn w:val="DefaultParagraphFont"/>
    <w:uiPriority w:val="99"/>
    <w:semiHidden/>
    <w:unhideWhenUsed/>
    <w:rsid w:val="00D51240"/>
    <w:rPr>
      <w:color w:val="605E5C"/>
      <w:shd w:val="clear" w:color="auto" w:fill="E1DFDD"/>
    </w:rPr>
  </w:style>
  <w:style w:type="character" w:styleId="FollowedHyperlink">
    <w:name w:val="FollowedHyperlink"/>
    <w:basedOn w:val="DefaultParagraphFont"/>
    <w:uiPriority w:val="99"/>
    <w:semiHidden/>
    <w:unhideWhenUsed/>
    <w:rsid w:val="00957F78"/>
    <w:rPr>
      <w:color w:val="954F72" w:themeColor="followedHyperlink"/>
      <w:u w:val="single"/>
    </w:rPr>
  </w:style>
  <w:style w:type="character" w:styleId="CommentReference">
    <w:name w:val="annotation reference"/>
    <w:basedOn w:val="DefaultParagraphFont"/>
    <w:uiPriority w:val="99"/>
    <w:semiHidden/>
    <w:unhideWhenUsed/>
    <w:rsid w:val="00284709"/>
    <w:rPr>
      <w:sz w:val="16"/>
      <w:szCs w:val="16"/>
    </w:rPr>
  </w:style>
  <w:style w:type="paragraph" w:styleId="CommentText">
    <w:name w:val="annotation text"/>
    <w:basedOn w:val="Normal"/>
    <w:link w:val="CommentTextChar"/>
    <w:uiPriority w:val="99"/>
    <w:semiHidden/>
    <w:unhideWhenUsed/>
    <w:rsid w:val="00284709"/>
    <w:pPr>
      <w:spacing w:line="240" w:lineRule="auto"/>
    </w:pPr>
    <w:rPr>
      <w:sz w:val="20"/>
      <w:szCs w:val="20"/>
    </w:rPr>
  </w:style>
  <w:style w:type="character" w:customStyle="1" w:styleId="CommentTextChar">
    <w:name w:val="Comment Text Char"/>
    <w:basedOn w:val="DefaultParagraphFont"/>
    <w:link w:val="CommentText"/>
    <w:uiPriority w:val="99"/>
    <w:semiHidden/>
    <w:rsid w:val="00284709"/>
    <w:rPr>
      <w:sz w:val="20"/>
      <w:szCs w:val="20"/>
    </w:rPr>
  </w:style>
  <w:style w:type="paragraph" w:styleId="CommentSubject">
    <w:name w:val="annotation subject"/>
    <w:basedOn w:val="CommentText"/>
    <w:next w:val="CommentText"/>
    <w:link w:val="CommentSubjectChar"/>
    <w:uiPriority w:val="99"/>
    <w:semiHidden/>
    <w:unhideWhenUsed/>
    <w:rsid w:val="00284709"/>
    <w:rPr>
      <w:b/>
      <w:bCs/>
    </w:rPr>
  </w:style>
  <w:style w:type="character" w:customStyle="1" w:styleId="CommentSubjectChar">
    <w:name w:val="Comment Subject Char"/>
    <w:basedOn w:val="CommentTextChar"/>
    <w:link w:val="CommentSubject"/>
    <w:uiPriority w:val="99"/>
    <w:semiHidden/>
    <w:rsid w:val="00284709"/>
    <w:rPr>
      <w:b/>
      <w:bCs/>
      <w:sz w:val="20"/>
      <w:szCs w:val="20"/>
    </w:rPr>
  </w:style>
  <w:style w:type="paragraph" w:styleId="BalloonText">
    <w:name w:val="Balloon Text"/>
    <w:basedOn w:val="Normal"/>
    <w:link w:val="BalloonTextChar"/>
    <w:uiPriority w:val="99"/>
    <w:semiHidden/>
    <w:unhideWhenUsed/>
    <w:rsid w:val="00FE7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8B4"/>
    <w:rPr>
      <w:rFonts w:ascii="Segoe UI" w:hAnsi="Segoe UI" w:cs="Segoe UI"/>
      <w:sz w:val="18"/>
      <w:szCs w:val="18"/>
    </w:rPr>
  </w:style>
  <w:style w:type="paragraph" w:styleId="Revision">
    <w:name w:val="Revision"/>
    <w:hidden/>
    <w:uiPriority w:val="99"/>
    <w:semiHidden/>
    <w:rsid w:val="00F007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27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huukh.mn/single_case/3364?start_date=&amp;end_date=&amp;id=3&amp;court_cat=3&amp;bb=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CADC1-AAC2-4743-95F1-528343A0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Anuurad  Rentsendagva</dc:creator>
  <cp:keywords/>
  <dc:description/>
  <cp:lastModifiedBy>Dulguun Battulga</cp:lastModifiedBy>
  <cp:revision>6</cp:revision>
  <dcterms:created xsi:type="dcterms:W3CDTF">2025-06-27T02:01:00Z</dcterms:created>
  <dcterms:modified xsi:type="dcterms:W3CDTF">2025-06-27T05:16:00Z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15eef41ff25b40f0e365050980af6ff2f6309e05fc8c348cc922846192f5cf0c</vt:lpwstr>
  </property>
</Properties>
</file>