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E34D" w14:textId="77777777" w:rsidR="000D5B64" w:rsidRPr="00C24771" w:rsidRDefault="000D5B64" w:rsidP="008305ED">
      <w:pPr>
        <w:pStyle w:val="Heading1"/>
        <w:rPr>
          <w:lang w:val="mn-MN"/>
        </w:rPr>
      </w:pPr>
      <w:r w:rsidRPr="00C24771">
        <w:rPr>
          <w:lang w:val="mn-MN"/>
        </w:rPr>
        <w:t xml:space="preserve">БҮГД НАЙРАМДАХ АВСТРИ УЛСЫН </w:t>
      </w:r>
      <w:r w:rsidR="007D2B88" w:rsidRPr="00C24771">
        <w:rPr>
          <w:lang w:val="mn-MN"/>
        </w:rPr>
        <w:t xml:space="preserve">ШҮҮХИЙН </w:t>
      </w:r>
    </w:p>
    <w:p w14:paraId="392BAE8B" w14:textId="5522937C" w:rsidR="007D2B88" w:rsidRPr="00C24771" w:rsidRDefault="007D2B88" w:rsidP="008305ED">
      <w:pPr>
        <w:pStyle w:val="Heading1"/>
        <w:rPr>
          <w:lang w:val="mn-MN"/>
        </w:rPr>
      </w:pPr>
      <w:r w:rsidRPr="00C24771">
        <w:rPr>
          <w:lang w:val="mn-MN"/>
        </w:rPr>
        <w:t>ШИЙДВЭРИЙН ХУРААНГУЙ</w:t>
      </w:r>
    </w:p>
    <w:p w14:paraId="5BD3D400" w14:textId="77777777" w:rsidR="007D2B88" w:rsidRPr="00C24771" w:rsidRDefault="007D2B88" w:rsidP="008305ED">
      <w:pPr>
        <w:spacing w:before="197"/>
        <w:ind w:left="2869" w:right="2689"/>
        <w:jc w:val="center"/>
        <w:rPr>
          <w:b/>
          <w:sz w:val="24"/>
          <w:szCs w:val="24"/>
          <w:lang w:val="mn-MN"/>
        </w:rPr>
      </w:pPr>
      <w:r w:rsidRPr="00C24771">
        <w:rPr>
          <w:b/>
          <w:sz w:val="24"/>
          <w:szCs w:val="24"/>
          <w:lang w:val="mn-MN"/>
        </w:rPr>
        <w:t>(Захиргааны</w:t>
      </w:r>
      <w:r w:rsidRPr="00C24771">
        <w:rPr>
          <w:b/>
          <w:spacing w:val="-4"/>
          <w:sz w:val="24"/>
          <w:szCs w:val="24"/>
          <w:lang w:val="mn-MN"/>
        </w:rPr>
        <w:t xml:space="preserve"> </w:t>
      </w:r>
      <w:r w:rsidRPr="00C24771">
        <w:rPr>
          <w:b/>
          <w:sz w:val="24"/>
          <w:szCs w:val="24"/>
          <w:lang w:val="mn-MN"/>
        </w:rPr>
        <w:t>эрх</w:t>
      </w:r>
      <w:r w:rsidRPr="00C24771">
        <w:rPr>
          <w:b/>
          <w:spacing w:val="-2"/>
          <w:sz w:val="24"/>
          <w:szCs w:val="24"/>
          <w:lang w:val="mn-MN"/>
        </w:rPr>
        <w:t xml:space="preserve"> </w:t>
      </w:r>
      <w:r w:rsidRPr="00C24771">
        <w:rPr>
          <w:b/>
          <w:sz w:val="24"/>
          <w:szCs w:val="24"/>
          <w:lang w:val="mn-MN"/>
        </w:rPr>
        <w:t>зүйн</w:t>
      </w:r>
      <w:r w:rsidRPr="00C24771">
        <w:rPr>
          <w:b/>
          <w:spacing w:val="-3"/>
          <w:sz w:val="24"/>
          <w:szCs w:val="24"/>
          <w:lang w:val="mn-MN"/>
        </w:rPr>
        <w:t xml:space="preserve"> </w:t>
      </w:r>
      <w:r w:rsidRPr="00C24771">
        <w:rPr>
          <w:b/>
          <w:sz w:val="24"/>
          <w:szCs w:val="24"/>
          <w:lang w:val="mn-MN"/>
        </w:rPr>
        <w:t>маргаан)</w:t>
      </w:r>
      <w:r w:rsidRPr="00C24771">
        <w:rPr>
          <w:rStyle w:val="FootnoteReference"/>
          <w:b/>
          <w:sz w:val="24"/>
          <w:szCs w:val="24"/>
          <w:lang w:val="mn-MN"/>
        </w:rPr>
        <w:footnoteReference w:id="1"/>
      </w:r>
    </w:p>
    <w:p w14:paraId="77F9F03F" w14:textId="618055AA" w:rsidR="008305ED" w:rsidRPr="00081D87" w:rsidRDefault="00417C21" w:rsidP="008305ED">
      <w:pPr>
        <w:pStyle w:val="Heading1"/>
        <w:spacing w:before="202" w:after="240"/>
        <w:ind w:left="0" w:right="389"/>
        <w:rPr>
          <w:color w:val="0070C0"/>
          <w:lang w:val="mn-MN" w:eastAsia="ja-JP"/>
        </w:rPr>
      </w:pPr>
      <w:bookmarkStart w:id="0" w:name="_Hlk197437067"/>
      <w:r w:rsidRPr="00081D87">
        <w:rPr>
          <w:color w:val="0070C0"/>
          <w:lang w:val="mn-MN" w:eastAsia="ja-JP"/>
        </w:rPr>
        <w:t>ЭЛЕКТРОН ТАМХИ</w:t>
      </w:r>
      <w:r w:rsidR="00956487" w:rsidRPr="00081D87">
        <w:rPr>
          <w:color w:val="0070C0"/>
          <w:lang w:val="mn-MN" w:eastAsia="ja-JP"/>
        </w:rPr>
        <w:t>, ТҮҮНИЙ</w:t>
      </w:r>
      <w:r w:rsidR="00E03129" w:rsidRPr="00081D87">
        <w:rPr>
          <w:color w:val="0070C0"/>
          <w:lang w:val="mn-MN" w:eastAsia="ja-JP"/>
        </w:rPr>
        <w:t xml:space="preserve"> </w:t>
      </w:r>
      <w:r w:rsidR="00CC7713" w:rsidRPr="00081D87">
        <w:rPr>
          <w:color w:val="0070C0"/>
          <w:lang w:val="mn-MN" w:eastAsia="ja-JP"/>
        </w:rPr>
        <w:t>ЦЭНЭГЛЭГЧ</w:t>
      </w:r>
      <w:r w:rsidRPr="00081D87">
        <w:rPr>
          <w:color w:val="0070C0"/>
          <w:lang w:val="mn-MN" w:eastAsia="ja-JP"/>
        </w:rPr>
        <w:t xml:space="preserve"> ШИНГЭНИЙГ </w:t>
      </w:r>
      <w:bookmarkEnd w:id="0"/>
      <w:r w:rsidRPr="00081D87">
        <w:rPr>
          <w:color w:val="0070C0"/>
          <w:lang w:val="mn-MN" w:eastAsia="ja-JP"/>
        </w:rPr>
        <w:t xml:space="preserve">ЦАХИМ ОРЧИНД СУРТАЛЧЛАХЫГ ХОРИГЛОНО </w:t>
      </w:r>
    </w:p>
    <w:p w14:paraId="00FA263D" w14:textId="4EC50913" w:rsidR="007D2B88" w:rsidRPr="00081D87" w:rsidRDefault="007D2B88" w:rsidP="008305ED">
      <w:pPr>
        <w:jc w:val="both"/>
        <w:rPr>
          <w:i/>
          <w:iCs/>
          <w:sz w:val="24"/>
          <w:szCs w:val="24"/>
          <w:lang w:val="mn-MN" w:eastAsia="ja-JP"/>
        </w:rPr>
      </w:pPr>
      <w:r w:rsidRPr="00081D87">
        <w:rPr>
          <w:b/>
          <w:bCs/>
          <w:i/>
          <w:iCs/>
          <w:sz w:val="24"/>
          <w:szCs w:val="24"/>
          <w:lang w:val="mn-MN"/>
        </w:rPr>
        <w:t>САНАМЖ:</w:t>
      </w:r>
      <w:r w:rsidRPr="00081D87">
        <w:rPr>
          <w:i/>
          <w:iCs/>
          <w:sz w:val="24"/>
          <w:szCs w:val="24"/>
          <w:lang w:val="mn-MN"/>
        </w:rPr>
        <w:t xml:space="preserve"> Энэхүү хураангуй нь </w:t>
      </w:r>
      <w:r w:rsidR="00AC7997" w:rsidRPr="00081D87">
        <w:rPr>
          <w:i/>
          <w:iCs/>
          <w:sz w:val="24"/>
          <w:szCs w:val="24"/>
          <w:lang w:val="mn-MN"/>
        </w:rPr>
        <w:t>хуульч, судлаач, эрх зүйн чиглэлээр суралцагчдад болон олон нийтэд мэдээлэл өгөх зорилготой бөгөөд хураангуйд ашигласан шийдвэр нь гадаад улсын шүүхийн шийдвэр болно.</w:t>
      </w:r>
    </w:p>
    <w:p w14:paraId="17999514" w14:textId="4CDEE482" w:rsidR="007D2B88" w:rsidRPr="00C24771" w:rsidRDefault="007D2B88" w:rsidP="008305ED">
      <w:pPr>
        <w:jc w:val="both"/>
        <w:rPr>
          <w:sz w:val="24"/>
          <w:szCs w:val="24"/>
          <w:lang w:val="mn-MN"/>
        </w:rPr>
      </w:pPr>
      <w:r w:rsidRPr="00C24771">
        <w:rPr>
          <w:b/>
          <w:sz w:val="24"/>
          <w:szCs w:val="24"/>
          <w:lang w:val="mn-MN"/>
        </w:rPr>
        <w:t>Шүүхийн</w:t>
      </w:r>
      <w:r w:rsidRPr="00C24771">
        <w:rPr>
          <w:b/>
          <w:spacing w:val="-4"/>
          <w:sz w:val="24"/>
          <w:szCs w:val="24"/>
          <w:lang w:val="mn-MN"/>
        </w:rPr>
        <w:t xml:space="preserve"> </w:t>
      </w:r>
      <w:r w:rsidRPr="00C24771">
        <w:rPr>
          <w:b/>
          <w:sz w:val="24"/>
          <w:szCs w:val="24"/>
          <w:lang w:val="mn-MN"/>
        </w:rPr>
        <w:t>шийдвэрийн</w:t>
      </w:r>
      <w:r w:rsidRPr="00C24771">
        <w:rPr>
          <w:b/>
          <w:spacing w:val="-6"/>
          <w:sz w:val="24"/>
          <w:szCs w:val="24"/>
          <w:lang w:val="mn-MN"/>
        </w:rPr>
        <w:t xml:space="preserve"> </w:t>
      </w:r>
      <w:r w:rsidRPr="00C24771">
        <w:rPr>
          <w:b/>
          <w:sz w:val="24"/>
          <w:szCs w:val="24"/>
          <w:lang w:val="mn-MN"/>
        </w:rPr>
        <w:t>дугаар:</w:t>
      </w:r>
      <w:r w:rsidRPr="00C24771">
        <w:rPr>
          <w:b/>
          <w:spacing w:val="-1"/>
          <w:sz w:val="24"/>
          <w:szCs w:val="24"/>
          <w:lang w:val="mn-MN"/>
        </w:rPr>
        <w:t xml:space="preserve"> </w:t>
      </w:r>
      <w:r w:rsidR="00AC7997" w:rsidRPr="00C24771">
        <w:rPr>
          <w:sz w:val="24"/>
          <w:szCs w:val="24"/>
          <w:lang w:val="mn-MN"/>
        </w:rPr>
        <w:t>Ra 2018/11/0143</w:t>
      </w:r>
      <w:r w:rsidR="00C64E3A" w:rsidRPr="00C24771">
        <w:rPr>
          <w:sz w:val="24"/>
          <w:szCs w:val="24"/>
          <w:lang w:val="mn-MN"/>
        </w:rPr>
        <w:t xml:space="preserve">, </w:t>
      </w:r>
      <w:r w:rsidR="00884607" w:rsidRPr="00C24771">
        <w:rPr>
          <w:sz w:val="24"/>
          <w:szCs w:val="24"/>
          <w:lang w:val="mn-MN"/>
        </w:rPr>
        <w:t>J GmbH (</w:t>
      </w:r>
      <w:r w:rsidR="008E2923">
        <w:rPr>
          <w:sz w:val="24"/>
          <w:szCs w:val="24"/>
          <w:lang w:val="mn-MN"/>
        </w:rPr>
        <w:t>гомдол гаргагч</w:t>
      </w:r>
      <w:r w:rsidR="00884607" w:rsidRPr="00C24771">
        <w:rPr>
          <w:sz w:val="24"/>
          <w:szCs w:val="24"/>
          <w:lang w:val="mn-MN"/>
        </w:rPr>
        <w:t>) v Magistrat der Stadt Wien (хариуцагч</w:t>
      </w:r>
      <w:r w:rsidR="008E2923">
        <w:rPr>
          <w:sz w:val="24"/>
          <w:szCs w:val="24"/>
          <w:lang w:val="mn-MN"/>
        </w:rPr>
        <w:t xml:space="preserve"> Вена хотын захиргаа</w:t>
      </w:r>
      <w:r w:rsidR="00884607" w:rsidRPr="00C24771">
        <w:rPr>
          <w:sz w:val="24"/>
          <w:szCs w:val="24"/>
          <w:lang w:val="mn-MN"/>
        </w:rPr>
        <w:t>)</w:t>
      </w:r>
    </w:p>
    <w:p w14:paraId="27C5CF29" w14:textId="7A0F2748" w:rsidR="007D2B88" w:rsidRPr="00C24771" w:rsidRDefault="007D2B88" w:rsidP="008305ED">
      <w:pPr>
        <w:jc w:val="both"/>
        <w:rPr>
          <w:sz w:val="24"/>
          <w:szCs w:val="24"/>
          <w:lang w:val="mn-MN"/>
        </w:rPr>
      </w:pPr>
      <w:r w:rsidRPr="00C24771">
        <w:rPr>
          <w:b/>
          <w:sz w:val="24"/>
          <w:szCs w:val="24"/>
          <w:lang w:val="mn-MN"/>
        </w:rPr>
        <w:t>Шүүхийн</w:t>
      </w:r>
      <w:r w:rsidRPr="00C24771">
        <w:rPr>
          <w:b/>
          <w:spacing w:val="-1"/>
          <w:sz w:val="24"/>
          <w:szCs w:val="24"/>
          <w:lang w:val="mn-MN"/>
        </w:rPr>
        <w:t xml:space="preserve"> </w:t>
      </w:r>
      <w:r w:rsidRPr="00C24771">
        <w:rPr>
          <w:b/>
          <w:sz w:val="24"/>
          <w:szCs w:val="24"/>
          <w:lang w:val="mn-MN"/>
        </w:rPr>
        <w:t>шийдвэрийн</w:t>
      </w:r>
      <w:r w:rsidRPr="00C24771">
        <w:rPr>
          <w:b/>
          <w:spacing w:val="-3"/>
          <w:sz w:val="24"/>
          <w:szCs w:val="24"/>
          <w:lang w:val="mn-MN"/>
        </w:rPr>
        <w:t xml:space="preserve"> </w:t>
      </w:r>
      <w:r w:rsidRPr="00C24771">
        <w:rPr>
          <w:b/>
          <w:sz w:val="24"/>
          <w:szCs w:val="24"/>
          <w:lang w:val="mn-MN"/>
        </w:rPr>
        <w:t>огноо:</w:t>
      </w:r>
      <w:r w:rsidRPr="00C24771">
        <w:rPr>
          <w:b/>
          <w:spacing w:val="2"/>
          <w:sz w:val="24"/>
          <w:szCs w:val="24"/>
          <w:lang w:val="mn-MN"/>
        </w:rPr>
        <w:t xml:space="preserve"> </w:t>
      </w:r>
      <w:r w:rsidRPr="00C24771">
        <w:rPr>
          <w:sz w:val="24"/>
          <w:szCs w:val="24"/>
          <w:lang w:val="mn-MN"/>
        </w:rPr>
        <w:t>202</w:t>
      </w:r>
      <w:r w:rsidR="00AC7997" w:rsidRPr="00C24771">
        <w:rPr>
          <w:sz w:val="24"/>
          <w:szCs w:val="24"/>
          <w:lang w:val="mn-MN"/>
        </w:rPr>
        <w:t>1</w:t>
      </w:r>
      <w:r w:rsidRPr="00C24771">
        <w:rPr>
          <w:sz w:val="24"/>
          <w:szCs w:val="24"/>
          <w:lang w:val="mn-MN"/>
        </w:rPr>
        <w:t xml:space="preserve"> оны</w:t>
      </w:r>
      <w:r w:rsidRPr="00C24771">
        <w:rPr>
          <w:spacing w:val="-2"/>
          <w:sz w:val="24"/>
          <w:szCs w:val="24"/>
          <w:lang w:val="mn-MN"/>
        </w:rPr>
        <w:t xml:space="preserve"> </w:t>
      </w:r>
      <w:r w:rsidR="00AC7997" w:rsidRPr="00C24771">
        <w:rPr>
          <w:spacing w:val="-2"/>
          <w:sz w:val="24"/>
          <w:szCs w:val="24"/>
          <w:lang w:val="mn-MN"/>
        </w:rPr>
        <w:t>06</w:t>
      </w:r>
      <w:r w:rsidRPr="00C24771">
        <w:rPr>
          <w:spacing w:val="1"/>
          <w:sz w:val="24"/>
          <w:szCs w:val="24"/>
          <w:lang w:val="mn-MN"/>
        </w:rPr>
        <w:t xml:space="preserve"> </w:t>
      </w:r>
      <w:r w:rsidRPr="00C24771">
        <w:rPr>
          <w:sz w:val="24"/>
          <w:szCs w:val="24"/>
          <w:lang w:val="mn-MN"/>
        </w:rPr>
        <w:t>сарын</w:t>
      </w:r>
      <w:r w:rsidRPr="00C24771">
        <w:rPr>
          <w:spacing w:val="-2"/>
          <w:sz w:val="24"/>
          <w:szCs w:val="24"/>
          <w:lang w:val="mn-MN"/>
        </w:rPr>
        <w:t xml:space="preserve"> </w:t>
      </w:r>
      <w:r w:rsidR="00AC7997" w:rsidRPr="00C24771">
        <w:rPr>
          <w:sz w:val="24"/>
          <w:szCs w:val="24"/>
          <w:lang w:val="mn-MN"/>
        </w:rPr>
        <w:t>04</w:t>
      </w:r>
      <w:r w:rsidRPr="00C24771">
        <w:rPr>
          <w:sz w:val="24"/>
          <w:szCs w:val="24"/>
          <w:lang w:val="mn-MN"/>
        </w:rPr>
        <w:t xml:space="preserve"> өдөр</w:t>
      </w:r>
    </w:p>
    <w:p w14:paraId="1B93930B" w14:textId="77777777" w:rsidR="00AC7997" w:rsidRPr="00C24771" w:rsidRDefault="00AC7997" w:rsidP="008305ED">
      <w:pPr>
        <w:jc w:val="both"/>
        <w:rPr>
          <w:sz w:val="24"/>
          <w:szCs w:val="24"/>
          <w:lang w:val="mn-MN"/>
        </w:rPr>
      </w:pPr>
    </w:p>
    <w:p w14:paraId="09A5EBCB" w14:textId="77777777" w:rsidR="005E3812" w:rsidRPr="00081D87" w:rsidRDefault="007D2B88" w:rsidP="008305ED">
      <w:pPr>
        <w:pStyle w:val="Heading1"/>
        <w:spacing w:after="240"/>
        <w:ind w:left="0"/>
        <w:jc w:val="both"/>
        <w:rPr>
          <w:color w:val="0070C0"/>
          <w:lang w:val="mn-MN"/>
        </w:rPr>
      </w:pPr>
      <w:r w:rsidRPr="00081D87">
        <w:rPr>
          <w:color w:val="0070C0"/>
          <w:lang w:val="mn-MN"/>
        </w:rPr>
        <w:t>ХЭРГИЙН</w:t>
      </w:r>
      <w:r w:rsidRPr="00081D87">
        <w:rPr>
          <w:color w:val="0070C0"/>
          <w:spacing w:val="-3"/>
          <w:lang w:val="mn-MN"/>
        </w:rPr>
        <w:t xml:space="preserve"> </w:t>
      </w:r>
      <w:r w:rsidRPr="00081D87">
        <w:rPr>
          <w:color w:val="0070C0"/>
          <w:lang w:val="mn-MN"/>
        </w:rPr>
        <w:t>ТУХАЙ</w:t>
      </w:r>
      <w:r w:rsidRPr="00081D87">
        <w:rPr>
          <w:color w:val="0070C0"/>
          <w:spacing w:val="-2"/>
          <w:lang w:val="mn-MN"/>
        </w:rPr>
        <w:t xml:space="preserve"> </w:t>
      </w:r>
      <w:r w:rsidRPr="00081D87">
        <w:rPr>
          <w:color w:val="0070C0"/>
          <w:lang w:val="mn-MN"/>
        </w:rPr>
        <w:t>ТОВЧ</w:t>
      </w:r>
    </w:p>
    <w:p w14:paraId="4FE84836" w14:textId="13BE4080" w:rsidR="005E3812" w:rsidRDefault="008E2923" w:rsidP="008305ED">
      <w:pPr>
        <w:pStyle w:val="Heading1"/>
        <w:spacing w:before="0" w:after="240"/>
        <w:ind w:left="0" w:firstLine="720"/>
        <w:jc w:val="both"/>
        <w:rPr>
          <w:lang w:val="mn-MN"/>
        </w:rPr>
      </w:pPr>
      <w:r>
        <w:rPr>
          <w:b w:val="0"/>
          <w:bCs w:val="0"/>
          <w:lang w:val="mn-MN"/>
        </w:rPr>
        <w:t>Гомдол гаргагч</w:t>
      </w:r>
      <w:r w:rsidR="00DC7C75" w:rsidRPr="00C24771">
        <w:rPr>
          <w:b w:val="0"/>
          <w:bCs w:val="0"/>
          <w:lang w:val="mn-MN"/>
        </w:rPr>
        <w:t xml:space="preserve"> </w:t>
      </w:r>
      <w:r w:rsidR="00CC3E65">
        <w:rPr>
          <w:b w:val="0"/>
          <w:bCs w:val="0"/>
          <w:lang w:val="mn-MN"/>
        </w:rPr>
        <w:t>аж ахуйн нэгж</w:t>
      </w:r>
      <w:r w:rsidR="003C1D28">
        <w:rPr>
          <w:b w:val="0"/>
          <w:bCs w:val="0"/>
          <w:lang w:val="mn-MN"/>
        </w:rPr>
        <w:t xml:space="preserve"> </w:t>
      </w:r>
      <w:r w:rsidR="00DC7C75" w:rsidRPr="00C24771">
        <w:rPr>
          <w:b w:val="0"/>
          <w:bCs w:val="0"/>
          <w:lang w:val="mn-MN"/>
        </w:rPr>
        <w:t>нь</w:t>
      </w:r>
      <w:r w:rsidR="00DE63F1" w:rsidRPr="00C24771">
        <w:rPr>
          <w:b w:val="0"/>
          <w:bCs w:val="0"/>
          <w:lang w:val="mn-MN"/>
        </w:rPr>
        <w:t xml:space="preserve"> </w:t>
      </w:r>
      <w:r w:rsidR="00257619" w:rsidRPr="00C24771">
        <w:rPr>
          <w:b w:val="0"/>
          <w:bCs w:val="0"/>
          <w:lang w:val="mn-MN"/>
        </w:rPr>
        <w:t>электрон тамхи</w:t>
      </w:r>
      <w:r w:rsidR="00737DD9" w:rsidRPr="00C24771">
        <w:rPr>
          <w:b w:val="0"/>
          <w:bCs w:val="0"/>
          <w:lang w:val="mn-MN"/>
        </w:rPr>
        <w:t>,</w:t>
      </w:r>
      <w:r w:rsidR="00257619" w:rsidRPr="00C24771">
        <w:rPr>
          <w:b w:val="0"/>
          <w:bCs w:val="0"/>
          <w:lang w:val="mn-MN"/>
        </w:rPr>
        <w:t xml:space="preserve"> түүний </w:t>
      </w:r>
      <w:r w:rsidR="00737DD9" w:rsidRPr="00C24771">
        <w:rPr>
          <w:b w:val="0"/>
          <w:bCs w:val="0"/>
          <w:lang w:val="mn-MN"/>
        </w:rPr>
        <w:t xml:space="preserve">цэнэглэгч </w:t>
      </w:r>
      <w:r w:rsidR="00257619" w:rsidRPr="00C24771">
        <w:rPr>
          <w:b w:val="0"/>
          <w:bCs w:val="0"/>
          <w:lang w:val="mn-MN"/>
        </w:rPr>
        <w:t>шингэнийг худалдан борлуул</w:t>
      </w:r>
      <w:r w:rsidR="00DE63F1" w:rsidRPr="00C24771">
        <w:rPr>
          <w:b w:val="0"/>
          <w:bCs w:val="0"/>
          <w:lang w:val="mn-MN"/>
        </w:rPr>
        <w:t>ах үйл ажиллагаа эрхэлдэг</w:t>
      </w:r>
      <w:r>
        <w:rPr>
          <w:b w:val="0"/>
          <w:bCs w:val="0"/>
          <w:lang w:val="mn-MN"/>
        </w:rPr>
        <w:t xml:space="preserve"> ба</w:t>
      </w:r>
      <w:r w:rsidR="00257619" w:rsidRPr="00C24771">
        <w:rPr>
          <w:b w:val="0"/>
          <w:bCs w:val="0"/>
          <w:lang w:val="mn-MN"/>
        </w:rPr>
        <w:t xml:space="preserve"> </w:t>
      </w:r>
      <w:r w:rsidR="00DE63F1" w:rsidRPr="00C24771">
        <w:rPr>
          <w:b w:val="0"/>
          <w:bCs w:val="0"/>
          <w:lang w:val="mn-MN"/>
        </w:rPr>
        <w:t xml:space="preserve">өөрсдийн </w:t>
      </w:r>
      <w:r w:rsidR="00257619" w:rsidRPr="00C24771">
        <w:rPr>
          <w:b w:val="0"/>
          <w:bCs w:val="0"/>
          <w:lang w:val="mn-MN"/>
        </w:rPr>
        <w:t>цахим хуудаст</w:t>
      </w:r>
      <w:r w:rsidR="00BA6DEF" w:rsidRPr="00C24771">
        <w:rPr>
          <w:b w:val="0"/>
          <w:bCs w:val="0"/>
          <w:lang w:val="mn-MN"/>
        </w:rPr>
        <w:t xml:space="preserve"> </w:t>
      </w:r>
      <w:r w:rsidR="00A3259C" w:rsidRPr="00C24771">
        <w:rPr>
          <w:b w:val="0"/>
          <w:bCs w:val="0"/>
          <w:lang w:val="mn-MN"/>
        </w:rPr>
        <w:t xml:space="preserve">“ухаалаг </w:t>
      </w:r>
      <w:r w:rsidR="00F250E9" w:rsidRPr="00C24771">
        <w:rPr>
          <w:b w:val="0"/>
          <w:bCs w:val="0"/>
          <w:lang w:val="mn-MN"/>
        </w:rPr>
        <w:t>электрон тамхины дэлгүүр”</w:t>
      </w:r>
      <w:r w:rsidR="00A243A7" w:rsidRPr="00C24771">
        <w:rPr>
          <w:b w:val="0"/>
          <w:bCs w:val="0"/>
          <w:lang w:val="mn-MN"/>
        </w:rPr>
        <w:t>, “шинэ технологи”</w:t>
      </w:r>
      <w:r w:rsidR="00F250E9" w:rsidRPr="00C24771">
        <w:rPr>
          <w:b w:val="0"/>
          <w:bCs w:val="0"/>
          <w:lang w:val="mn-MN"/>
        </w:rPr>
        <w:t xml:space="preserve"> </w:t>
      </w:r>
      <w:r w:rsidR="00711034" w:rsidRPr="00C24771">
        <w:rPr>
          <w:b w:val="0"/>
          <w:bCs w:val="0"/>
          <w:lang w:val="mn-MN"/>
        </w:rPr>
        <w:t xml:space="preserve">гэх </w:t>
      </w:r>
      <w:r w:rsidR="00A243A7" w:rsidRPr="00C24771">
        <w:rPr>
          <w:b w:val="0"/>
          <w:bCs w:val="0"/>
          <w:lang w:val="mn-MN"/>
        </w:rPr>
        <w:t xml:space="preserve">байдлаар </w:t>
      </w:r>
      <w:r w:rsidR="008C5559" w:rsidRPr="00C24771">
        <w:rPr>
          <w:b w:val="0"/>
          <w:bCs w:val="0"/>
          <w:lang w:val="mn-MN"/>
        </w:rPr>
        <w:t xml:space="preserve">дэлгүүрийн үйл ажиллагааг </w:t>
      </w:r>
      <w:r w:rsidR="00A243A7" w:rsidRPr="00C24771">
        <w:rPr>
          <w:b w:val="0"/>
          <w:bCs w:val="0"/>
          <w:lang w:val="mn-MN"/>
        </w:rPr>
        <w:t>тодорхойлж,</w:t>
      </w:r>
      <w:r w:rsidR="008C5559" w:rsidRPr="00C24771">
        <w:rPr>
          <w:b w:val="0"/>
          <w:bCs w:val="0"/>
          <w:lang w:val="mn-MN"/>
        </w:rPr>
        <w:t xml:space="preserve"> </w:t>
      </w:r>
      <w:r w:rsidR="00763A79" w:rsidRPr="00C24771">
        <w:rPr>
          <w:b w:val="0"/>
          <w:bCs w:val="0"/>
          <w:lang w:val="mn-MN"/>
        </w:rPr>
        <w:t>“</w:t>
      </w:r>
      <w:r w:rsidR="00663536" w:rsidRPr="00C24771">
        <w:rPr>
          <w:b w:val="0"/>
          <w:bCs w:val="0"/>
          <w:lang w:val="mn-MN"/>
        </w:rPr>
        <w:t>зах зээлд тэргүүл</w:t>
      </w:r>
      <w:r w:rsidR="004534AB" w:rsidRPr="00C24771">
        <w:rPr>
          <w:b w:val="0"/>
          <w:bCs w:val="0"/>
          <w:lang w:val="mn-MN"/>
        </w:rPr>
        <w:t>эгч</w:t>
      </w:r>
      <w:r w:rsidR="00075DBE" w:rsidRPr="00C24771">
        <w:rPr>
          <w:b w:val="0"/>
          <w:bCs w:val="0"/>
          <w:lang w:val="mn-MN"/>
        </w:rPr>
        <w:t xml:space="preserve"> электрон тамхи, </w:t>
      </w:r>
      <w:r w:rsidR="00A243A7" w:rsidRPr="00C24771">
        <w:rPr>
          <w:b w:val="0"/>
          <w:bCs w:val="0"/>
          <w:lang w:val="mn-MN"/>
        </w:rPr>
        <w:t xml:space="preserve">цэнэглэгч </w:t>
      </w:r>
      <w:r w:rsidR="00075DBE" w:rsidRPr="00C24771">
        <w:rPr>
          <w:b w:val="0"/>
          <w:bCs w:val="0"/>
          <w:lang w:val="mn-MN"/>
        </w:rPr>
        <w:t>шингэн, дагалдах хэрэгсл</w:t>
      </w:r>
      <w:r w:rsidR="008C5559" w:rsidRPr="00C24771">
        <w:rPr>
          <w:b w:val="0"/>
          <w:bCs w:val="0"/>
          <w:lang w:val="mn-MN"/>
        </w:rPr>
        <w:t xml:space="preserve">ийг </w:t>
      </w:r>
      <w:r w:rsidR="003C1D28">
        <w:rPr>
          <w:b w:val="0"/>
          <w:bCs w:val="0"/>
          <w:lang w:val="mn-MN"/>
        </w:rPr>
        <w:t xml:space="preserve">бид танд </w:t>
      </w:r>
      <w:r w:rsidR="008C5559" w:rsidRPr="00C24771">
        <w:rPr>
          <w:b w:val="0"/>
          <w:bCs w:val="0"/>
          <w:lang w:val="mn-MN"/>
        </w:rPr>
        <w:t>санал болгож байна</w:t>
      </w:r>
      <w:r w:rsidR="00763A79" w:rsidRPr="00C24771">
        <w:rPr>
          <w:b w:val="0"/>
          <w:bCs w:val="0"/>
          <w:lang w:val="mn-MN"/>
        </w:rPr>
        <w:t>”</w:t>
      </w:r>
      <w:r w:rsidR="00E03129" w:rsidRPr="00C24771">
        <w:rPr>
          <w:b w:val="0"/>
          <w:bCs w:val="0"/>
          <w:lang w:val="mn-MN"/>
        </w:rPr>
        <w:t xml:space="preserve"> </w:t>
      </w:r>
      <w:r w:rsidR="008C5559" w:rsidRPr="00C24771">
        <w:rPr>
          <w:b w:val="0"/>
          <w:bCs w:val="0"/>
          <w:lang w:val="mn-MN"/>
        </w:rPr>
        <w:t>хэмээ</w:t>
      </w:r>
      <w:r w:rsidR="003C1D28">
        <w:rPr>
          <w:b w:val="0"/>
          <w:bCs w:val="0"/>
          <w:lang w:val="mn-MN"/>
        </w:rPr>
        <w:t>н</w:t>
      </w:r>
      <w:r w:rsidR="004534AB" w:rsidRPr="00C24771">
        <w:rPr>
          <w:b w:val="0"/>
          <w:bCs w:val="0"/>
          <w:lang w:val="mn-MN"/>
        </w:rPr>
        <w:t xml:space="preserve"> </w:t>
      </w:r>
      <w:r w:rsidR="00D131E3">
        <w:rPr>
          <w:b w:val="0"/>
          <w:bCs w:val="0"/>
          <w:lang w:val="mn-MN"/>
        </w:rPr>
        <w:t xml:space="preserve">электрон тамхины </w:t>
      </w:r>
      <w:r w:rsidR="004534AB" w:rsidRPr="00C24771">
        <w:rPr>
          <w:b w:val="0"/>
          <w:bCs w:val="0"/>
          <w:lang w:val="mn-MN"/>
        </w:rPr>
        <w:t xml:space="preserve">зураг, </w:t>
      </w:r>
      <w:r w:rsidR="00D131E3">
        <w:rPr>
          <w:b w:val="0"/>
          <w:bCs w:val="0"/>
          <w:lang w:val="mn-MN"/>
        </w:rPr>
        <w:t xml:space="preserve">шингэний </w:t>
      </w:r>
      <w:r w:rsidR="00680748" w:rsidRPr="00C24771">
        <w:rPr>
          <w:b w:val="0"/>
          <w:bCs w:val="0"/>
          <w:lang w:val="mn-MN"/>
        </w:rPr>
        <w:t xml:space="preserve">хэмжээ, </w:t>
      </w:r>
      <w:r w:rsidR="004534AB" w:rsidRPr="00C24771">
        <w:rPr>
          <w:b w:val="0"/>
          <w:bCs w:val="0"/>
          <w:lang w:val="mn-MN"/>
        </w:rPr>
        <w:t xml:space="preserve">үнэ зэргийг </w:t>
      </w:r>
      <w:r w:rsidR="003C1D28" w:rsidRPr="00C24771">
        <w:rPr>
          <w:b w:val="0"/>
          <w:bCs w:val="0"/>
          <w:lang w:val="mn-MN"/>
        </w:rPr>
        <w:t xml:space="preserve">бүтээгдэхүүний жагсаалтаас </w:t>
      </w:r>
      <w:r w:rsidR="003C1D28">
        <w:rPr>
          <w:b w:val="0"/>
          <w:bCs w:val="0"/>
          <w:lang w:val="mn-MN"/>
        </w:rPr>
        <w:t>тусдаа</w:t>
      </w:r>
      <w:r w:rsidR="003C1D28" w:rsidRPr="00C24771">
        <w:rPr>
          <w:b w:val="0"/>
          <w:bCs w:val="0"/>
          <w:lang w:val="mn-MN"/>
        </w:rPr>
        <w:t xml:space="preserve"> хэсэгт</w:t>
      </w:r>
      <w:r w:rsidR="003C1D28">
        <w:rPr>
          <w:b w:val="0"/>
          <w:bCs w:val="0"/>
          <w:lang w:val="mn-MN"/>
        </w:rPr>
        <w:t xml:space="preserve"> </w:t>
      </w:r>
      <w:r w:rsidR="00BA6DEF" w:rsidRPr="007D6166">
        <w:rPr>
          <w:color w:val="0070C0"/>
          <w:lang w:val="mn-MN"/>
        </w:rPr>
        <w:t>цэс</w:t>
      </w:r>
      <w:r w:rsidR="00BA6DEF" w:rsidRPr="00C24771">
        <w:rPr>
          <w:b w:val="0"/>
          <w:bCs w:val="0"/>
          <w:lang w:val="mn-MN"/>
        </w:rPr>
        <w:t xml:space="preserve"> б</w:t>
      </w:r>
      <w:r w:rsidR="00D30ED5">
        <w:rPr>
          <w:b w:val="0"/>
          <w:bCs w:val="0"/>
          <w:lang w:val="mn-MN"/>
        </w:rPr>
        <w:t>олго</w:t>
      </w:r>
      <w:r w:rsidR="00FE648C">
        <w:rPr>
          <w:b w:val="0"/>
          <w:bCs w:val="0"/>
          <w:lang w:val="mn-MN"/>
        </w:rPr>
        <w:t>н</w:t>
      </w:r>
      <w:r w:rsidR="00BA6DEF" w:rsidRPr="00C24771">
        <w:rPr>
          <w:b w:val="0"/>
          <w:bCs w:val="0"/>
          <w:lang w:val="mn-MN"/>
        </w:rPr>
        <w:t xml:space="preserve"> </w:t>
      </w:r>
      <w:r w:rsidR="004534AB" w:rsidRPr="00C24771">
        <w:rPr>
          <w:b w:val="0"/>
          <w:bCs w:val="0"/>
          <w:lang w:val="mn-MN"/>
        </w:rPr>
        <w:t>нийтэл</w:t>
      </w:r>
      <w:r w:rsidR="00E9517D" w:rsidRPr="00C24771">
        <w:rPr>
          <w:b w:val="0"/>
          <w:bCs w:val="0"/>
          <w:lang w:val="mn-MN"/>
        </w:rPr>
        <w:t>жээ</w:t>
      </w:r>
      <w:r w:rsidR="004534AB" w:rsidRPr="00C24771">
        <w:rPr>
          <w:b w:val="0"/>
          <w:bCs w:val="0"/>
          <w:lang w:val="mn-MN"/>
        </w:rPr>
        <w:t>.</w:t>
      </w:r>
    </w:p>
    <w:p w14:paraId="23293DAC" w14:textId="3A633B12" w:rsidR="005E3812" w:rsidRDefault="004534AB" w:rsidP="00FE648C">
      <w:pPr>
        <w:pStyle w:val="Heading1"/>
        <w:spacing w:before="0" w:after="240"/>
        <w:ind w:left="0" w:firstLine="720"/>
        <w:jc w:val="both"/>
        <w:rPr>
          <w:lang w:val="mn-MN"/>
        </w:rPr>
      </w:pPr>
      <w:r w:rsidRPr="00C24771">
        <w:rPr>
          <w:b w:val="0"/>
          <w:bCs w:val="0"/>
          <w:lang w:val="mn-MN"/>
        </w:rPr>
        <w:t>Вен</w:t>
      </w:r>
      <w:r w:rsidR="00BE24E8">
        <w:rPr>
          <w:b w:val="0"/>
          <w:bCs w:val="0"/>
          <w:lang w:val="mn-MN"/>
        </w:rPr>
        <w:t>а</w:t>
      </w:r>
      <w:r w:rsidRPr="00C24771">
        <w:rPr>
          <w:b w:val="0"/>
          <w:bCs w:val="0"/>
          <w:lang w:val="mn-MN"/>
        </w:rPr>
        <w:t xml:space="preserve"> хотын захиргаанаас</w:t>
      </w:r>
      <w:r w:rsidR="008C02E9" w:rsidRPr="00C24771">
        <w:rPr>
          <w:b w:val="0"/>
          <w:bCs w:val="0"/>
          <w:lang w:val="mn-MN"/>
        </w:rPr>
        <w:t xml:space="preserve"> тус явдлыг олон нийтэд нээлттэй байдлаар </w:t>
      </w:r>
      <w:r w:rsidR="00683752" w:rsidRPr="00C24771">
        <w:rPr>
          <w:b w:val="0"/>
          <w:bCs w:val="0"/>
          <w:lang w:val="mn-MN"/>
        </w:rPr>
        <w:t>электрон тамхи</w:t>
      </w:r>
      <w:r w:rsidR="002D00C5" w:rsidRPr="00C24771">
        <w:rPr>
          <w:b w:val="0"/>
          <w:bCs w:val="0"/>
          <w:lang w:val="mn-MN"/>
        </w:rPr>
        <w:t>,</w:t>
      </w:r>
      <w:r w:rsidR="00683752" w:rsidRPr="00C24771">
        <w:rPr>
          <w:b w:val="0"/>
          <w:bCs w:val="0"/>
          <w:lang w:val="mn-MN"/>
        </w:rPr>
        <w:t xml:space="preserve"> </w:t>
      </w:r>
      <w:r w:rsidR="00E03129" w:rsidRPr="00C24771">
        <w:rPr>
          <w:b w:val="0"/>
          <w:bCs w:val="0"/>
          <w:lang w:val="mn-MN"/>
        </w:rPr>
        <w:t>цэнэглэгч</w:t>
      </w:r>
      <w:r w:rsidR="00683752" w:rsidRPr="00C24771">
        <w:rPr>
          <w:b w:val="0"/>
          <w:bCs w:val="0"/>
          <w:lang w:val="mn-MN"/>
        </w:rPr>
        <w:t xml:space="preserve"> шингэн</w:t>
      </w:r>
      <w:r w:rsidR="00D52C64" w:rsidRPr="00C24771">
        <w:rPr>
          <w:b w:val="0"/>
          <w:bCs w:val="0"/>
          <w:lang w:val="mn-MN"/>
        </w:rPr>
        <w:t>ий талаар сурталчилж, тамхины сурта</w:t>
      </w:r>
      <w:r w:rsidR="00BE24E8">
        <w:rPr>
          <w:b w:val="0"/>
          <w:bCs w:val="0"/>
          <w:lang w:val="mn-MN"/>
        </w:rPr>
        <w:t>л</w:t>
      </w:r>
      <w:r w:rsidR="00D52C64" w:rsidRPr="00C24771">
        <w:rPr>
          <w:b w:val="0"/>
          <w:bCs w:val="0"/>
          <w:lang w:val="mn-MN"/>
        </w:rPr>
        <w:t xml:space="preserve">чилгааны хориг буюу </w:t>
      </w:r>
      <w:r w:rsidR="001F02BE" w:rsidRPr="00C24771">
        <w:rPr>
          <w:b w:val="0"/>
          <w:bCs w:val="0"/>
          <w:lang w:val="mn-MN"/>
        </w:rPr>
        <w:t>Тамхи</w:t>
      </w:r>
      <w:r w:rsidR="00343709" w:rsidRPr="00C24771">
        <w:rPr>
          <w:b w:val="0"/>
          <w:bCs w:val="0"/>
          <w:lang w:val="mn-MN"/>
        </w:rPr>
        <w:t>далт болон тамхины хяналтын</w:t>
      </w:r>
      <w:r w:rsidR="001F02BE" w:rsidRPr="00C24771">
        <w:rPr>
          <w:b w:val="0"/>
          <w:bCs w:val="0"/>
          <w:lang w:val="mn-MN"/>
        </w:rPr>
        <w:t xml:space="preserve"> тухай хууль 1995</w:t>
      </w:r>
      <w:r w:rsidR="001F02BE" w:rsidRPr="00C24771">
        <w:rPr>
          <w:rStyle w:val="FootnoteReference"/>
          <w:b w:val="0"/>
          <w:bCs w:val="0"/>
          <w:lang w:val="mn-MN"/>
        </w:rPr>
        <w:footnoteReference w:id="2"/>
      </w:r>
      <w:r w:rsidR="00343709" w:rsidRPr="00C24771">
        <w:rPr>
          <w:b w:val="0"/>
          <w:bCs w:val="0"/>
          <w:lang w:val="mn-MN"/>
        </w:rPr>
        <w:t xml:space="preserve"> (гер. </w:t>
      </w:r>
      <w:r w:rsidR="00B9552C" w:rsidRPr="00C24771">
        <w:rPr>
          <w:b w:val="0"/>
          <w:bCs w:val="0"/>
          <w:i/>
          <w:iCs/>
          <w:lang w:val="mn-MN"/>
        </w:rPr>
        <w:t>Tabak- und Nichtraucherinnen- bzw. Nichtraucherschutzgesetz</w:t>
      </w:r>
      <w:r w:rsidR="00343709" w:rsidRPr="00C24771">
        <w:rPr>
          <w:b w:val="0"/>
          <w:bCs w:val="0"/>
          <w:lang w:val="mn-MN"/>
        </w:rPr>
        <w:t>)</w:t>
      </w:r>
      <w:r w:rsidR="001F02BE" w:rsidRPr="00C24771">
        <w:rPr>
          <w:b w:val="0"/>
          <w:bCs w:val="0"/>
          <w:lang w:val="mn-MN"/>
        </w:rPr>
        <w:t xml:space="preserve">-ийн </w:t>
      </w:r>
      <w:r w:rsidR="00684F80" w:rsidRPr="00C24771">
        <w:rPr>
          <w:b w:val="0"/>
          <w:bCs w:val="0"/>
          <w:lang w:val="mn-MN"/>
        </w:rPr>
        <w:t xml:space="preserve">11 дүгээр зүйлийн </w:t>
      </w:r>
      <w:r w:rsidR="00763A79" w:rsidRPr="00C24771">
        <w:rPr>
          <w:b w:val="0"/>
          <w:bCs w:val="0"/>
          <w:lang w:val="mn-MN"/>
        </w:rPr>
        <w:t>11</w:t>
      </w:r>
      <w:r w:rsidR="00684F80" w:rsidRPr="00C24771">
        <w:rPr>
          <w:b w:val="0"/>
          <w:bCs w:val="0"/>
          <w:lang w:val="mn-MN"/>
        </w:rPr>
        <w:t>.1</w:t>
      </w:r>
      <w:r w:rsidR="00E9517D" w:rsidRPr="00C24771">
        <w:rPr>
          <w:rStyle w:val="FootnoteReference"/>
          <w:b w:val="0"/>
          <w:bCs w:val="0"/>
          <w:lang w:val="mn-MN"/>
        </w:rPr>
        <w:footnoteReference w:id="3"/>
      </w:r>
      <w:r w:rsidR="00684F80" w:rsidRPr="00C24771">
        <w:rPr>
          <w:b w:val="0"/>
          <w:bCs w:val="0"/>
          <w:lang w:val="mn-MN"/>
        </w:rPr>
        <w:t>, 1</w:t>
      </w:r>
      <w:r w:rsidR="00763A79" w:rsidRPr="00C24771">
        <w:rPr>
          <w:b w:val="0"/>
          <w:bCs w:val="0"/>
          <w:lang w:val="mn-MN"/>
        </w:rPr>
        <w:t>1.</w:t>
      </w:r>
      <w:r w:rsidR="00684F80" w:rsidRPr="00C24771">
        <w:rPr>
          <w:b w:val="0"/>
          <w:bCs w:val="0"/>
          <w:lang w:val="mn-MN"/>
        </w:rPr>
        <w:t>2</w:t>
      </w:r>
      <w:r w:rsidR="00E9517D" w:rsidRPr="00C24771">
        <w:rPr>
          <w:rStyle w:val="FootnoteReference"/>
          <w:b w:val="0"/>
          <w:bCs w:val="0"/>
          <w:lang w:val="mn-MN"/>
        </w:rPr>
        <w:footnoteReference w:id="4"/>
      </w:r>
      <w:r w:rsidR="00684F80" w:rsidRPr="00C24771">
        <w:rPr>
          <w:b w:val="0"/>
          <w:bCs w:val="0"/>
          <w:lang w:val="mn-MN"/>
        </w:rPr>
        <w:t xml:space="preserve"> дахь хэсэгт заасныг зөрчсөн </w:t>
      </w:r>
      <w:r w:rsidR="00856EC2" w:rsidRPr="00C24771">
        <w:rPr>
          <w:b w:val="0"/>
          <w:bCs w:val="0"/>
          <w:lang w:val="mn-MN"/>
        </w:rPr>
        <w:t>гэж үзэж, нэхэмжлэгчи</w:t>
      </w:r>
      <w:r w:rsidR="00763A79" w:rsidRPr="00C24771">
        <w:rPr>
          <w:b w:val="0"/>
          <w:bCs w:val="0"/>
          <w:lang w:val="mn-MN"/>
        </w:rPr>
        <w:t>д</w:t>
      </w:r>
      <w:r w:rsidR="00856EC2" w:rsidRPr="00C24771">
        <w:rPr>
          <w:b w:val="0"/>
          <w:bCs w:val="0"/>
          <w:lang w:val="mn-MN"/>
        </w:rPr>
        <w:t xml:space="preserve"> 1750 еврогийн торгууль</w:t>
      </w:r>
      <w:r w:rsidR="00763A79" w:rsidRPr="00C24771">
        <w:rPr>
          <w:b w:val="0"/>
          <w:bCs w:val="0"/>
          <w:lang w:val="mn-MN"/>
        </w:rPr>
        <w:t xml:space="preserve"> оногдуулсан</w:t>
      </w:r>
      <w:r w:rsidR="00FE648C">
        <w:rPr>
          <w:b w:val="0"/>
          <w:bCs w:val="0"/>
          <w:lang w:val="mn-MN"/>
        </w:rPr>
        <w:t xml:space="preserve"> байна</w:t>
      </w:r>
      <w:r w:rsidR="00856EC2" w:rsidRPr="00C24771">
        <w:rPr>
          <w:b w:val="0"/>
          <w:bCs w:val="0"/>
          <w:lang w:val="mn-MN"/>
        </w:rPr>
        <w:t>.</w:t>
      </w:r>
    </w:p>
    <w:p w14:paraId="71EB899A" w14:textId="7C0400B1" w:rsidR="00680748" w:rsidRPr="005E3812" w:rsidRDefault="00680748" w:rsidP="008305ED">
      <w:pPr>
        <w:pStyle w:val="Heading1"/>
        <w:spacing w:before="0"/>
        <w:ind w:left="0" w:firstLine="720"/>
        <w:jc w:val="both"/>
        <w:rPr>
          <w:lang w:val="mn-MN"/>
        </w:rPr>
      </w:pPr>
      <w:r w:rsidRPr="00C24771">
        <w:rPr>
          <w:b w:val="0"/>
          <w:bCs w:val="0"/>
          <w:lang w:val="mn-MN"/>
        </w:rPr>
        <w:t xml:space="preserve">Дээрх шийдвэрийг </w:t>
      </w:r>
      <w:r w:rsidR="00B12E36">
        <w:rPr>
          <w:b w:val="0"/>
          <w:bCs w:val="0"/>
          <w:lang w:val="mn-MN"/>
        </w:rPr>
        <w:t>гомдол гаргагч</w:t>
      </w:r>
      <w:r w:rsidRPr="00C24771">
        <w:rPr>
          <w:b w:val="0"/>
          <w:bCs w:val="0"/>
          <w:lang w:val="mn-MN"/>
        </w:rPr>
        <w:t xml:space="preserve"> эс зөвшөөрч, захиргааны хэргийн шүүхэд хандахдаа</w:t>
      </w:r>
      <w:r w:rsidR="00C24771">
        <w:rPr>
          <w:b w:val="0"/>
          <w:bCs w:val="0"/>
          <w:lang w:val="mn-MN"/>
        </w:rPr>
        <w:t>:</w:t>
      </w:r>
      <w:r w:rsidRPr="00C24771">
        <w:rPr>
          <w:b w:val="0"/>
          <w:bCs w:val="0"/>
          <w:lang w:val="mn-MN"/>
        </w:rPr>
        <w:t xml:space="preserve"> </w:t>
      </w:r>
      <w:r w:rsidR="00033713" w:rsidRPr="00C24771">
        <w:rPr>
          <w:b w:val="0"/>
          <w:bCs w:val="0"/>
          <w:lang w:val="mn-MN"/>
        </w:rPr>
        <w:t xml:space="preserve">өөрийн цахим хуудаст </w:t>
      </w:r>
      <w:r w:rsidR="00EA221A" w:rsidRPr="00C24771">
        <w:rPr>
          <w:b w:val="0"/>
          <w:bCs w:val="0"/>
          <w:lang w:val="mn-MN"/>
        </w:rPr>
        <w:t xml:space="preserve">бүтээгдэхүүнтэй холбоотой </w:t>
      </w:r>
      <w:r w:rsidR="00033713" w:rsidRPr="00C24771">
        <w:rPr>
          <w:b w:val="0"/>
          <w:bCs w:val="0"/>
          <w:lang w:val="mn-MN"/>
        </w:rPr>
        <w:t>ямар нэгэн зар сурта</w:t>
      </w:r>
      <w:r w:rsidR="00BE24E8">
        <w:rPr>
          <w:b w:val="0"/>
          <w:bCs w:val="0"/>
          <w:lang w:val="mn-MN"/>
        </w:rPr>
        <w:t>л</w:t>
      </w:r>
      <w:r w:rsidR="00033713" w:rsidRPr="00C24771">
        <w:rPr>
          <w:b w:val="0"/>
          <w:bCs w:val="0"/>
          <w:lang w:val="mn-MN"/>
        </w:rPr>
        <w:t>чилгааны үйл ажиллагаа явуулаагүй</w:t>
      </w:r>
      <w:r w:rsidR="002F2A4A" w:rsidRPr="00C24771">
        <w:rPr>
          <w:b w:val="0"/>
          <w:bCs w:val="0"/>
          <w:lang w:val="mn-MN"/>
        </w:rPr>
        <w:t>,</w:t>
      </w:r>
      <w:r w:rsidR="00033713" w:rsidRPr="00C24771">
        <w:rPr>
          <w:b w:val="0"/>
          <w:bCs w:val="0"/>
          <w:lang w:val="mn-MN"/>
        </w:rPr>
        <w:t xml:space="preserve"> хэрэглэгчдэд</w:t>
      </w:r>
      <w:r w:rsidR="00EA221A" w:rsidRPr="00C24771">
        <w:rPr>
          <w:b w:val="0"/>
          <w:bCs w:val="0"/>
          <w:lang w:val="mn-MN"/>
        </w:rPr>
        <w:t xml:space="preserve"> </w:t>
      </w:r>
      <w:r w:rsidR="00A151C6">
        <w:rPr>
          <w:b w:val="0"/>
          <w:bCs w:val="0"/>
          <w:lang w:val="mn-MN"/>
        </w:rPr>
        <w:t>“</w:t>
      </w:r>
      <w:r w:rsidR="00EA221A" w:rsidRPr="00C24771">
        <w:rPr>
          <w:b w:val="0"/>
          <w:bCs w:val="0"/>
          <w:lang w:val="mn-MN"/>
        </w:rPr>
        <w:t>ирж авах</w:t>
      </w:r>
      <w:r w:rsidR="00A151C6">
        <w:rPr>
          <w:b w:val="0"/>
          <w:bCs w:val="0"/>
          <w:lang w:val="mn-MN"/>
        </w:rPr>
        <w:t>”</w:t>
      </w:r>
      <w:r w:rsidR="00EA221A" w:rsidRPr="00C24771">
        <w:rPr>
          <w:b w:val="0"/>
          <w:bCs w:val="0"/>
          <w:lang w:val="mn-MN"/>
        </w:rPr>
        <w:t xml:space="preserve"> нөхцөлтэйг</w:t>
      </w:r>
      <w:r w:rsidR="00BE24E8">
        <w:rPr>
          <w:b w:val="0"/>
          <w:bCs w:val="0"/>
          <w:lang w:val="mn-MN"/>
        </w:rPr>
        <w:t>өө</w:t>
      </w:r>
      <w:r w:rsidR="00EA221A" w:rsidRPr="00C24771">
        <w:rPr>
          <w:b w:val="0"/>
          <w:bCs w:val="0"/>
          <w:lang w:val="mn-MN"/>
        </w:rPr>
        <w:t xml:space="preserve">р өөрсдийн бүтээгдэхүүнийг </w:t>
      </w:r>
      <w:r w:rsidR="002F2A4A" w:rsidRPr="00C24771">
        <w:rPr>
          <w:b w:val="0"/>
          <w:bCs w:val="0"/>
          <w:lang w:val="mn-MN"/>
        </w:rPr>
        <w:t>танилцуулсан</w:t>
      </w:r>
      <w:r w:rsidR="00683548">
        <w:rPr>
          <w:b w:val="0"/>
          <w:bCs w:val="0"/>
          <w:lang w:val="mn-MN"/>
        </w:rPr>
        <w:t>, мөн</w:t>
      </w:r>
      <w:r w:rsidR="002F2A4A" w:rsidRPr="00C24771">
        <w:rPr>
          <w:b w:val="0"/>
          <w:bCs w:val="0"/>
          <w:lang w:val="mn-MN"/>
        </w:rPr>
        <w:t xml:space="preserve"> </w:t>
      </w:r>
      <w:r w:rsidR="00E9517D" w:rsidRPr="00C24771">
        <w:rPr>
          <w:b w:val="0"/>
          <w:bCs w:val="0"/>
          <w:lang w:val="mn-MN"/>
        </w:rPr>
        <w:t>уг цахим дэлгүүр нь хуульд заасан хориглолтод үл хамаарах</w:t>
      </w:r>
      <w:r w:rsidR="00683548" w:rsidRPr="00C24771">
        <w:rPr>
          <w:rStyle w:val="FootnoteReference"/>
          <w:b w:val="0"/>
          <w:bCs w:val="0"/>
          <w:lang w:val="mn-MN"/>
        </w:rPr>
        <w:footnoteReference w:id="5"/>
      </w:r>
      <w:r w:rsidR="00683548">
        <w:rPr>
          <w:b w:val="0"/>
          <w:bCs w:val="0"/>
          <w:lang w:val="mn-MN"/>
        </w:rPr>
        <w:t xml:space="preserve"> </w:t>
      </w:r>
      <w:r w:rsidR="00355246">
        <w:rPr>
          <w:b w:val="0"/>
          <w:bCs w:val="0"/>
          <w:lang w:val="mn-MN"/>
        </w:rPr>
        <w:t xml:space="preserve">буюу </w:t>
      </w:r>
      <w:r w:rsidR="00EF1609">
        <w:rPr>
          <w:b w:val="0"/>
          <w:bCs w:val="0"/>
          <w:lang w:val="mn-MN"/>
        </w:rPr>
        <w:t>тамхины төрөлжсөн худалдаа эрхэлдэг дэлгүүр</w:t>
      </w:r>
      <w:r w:rsidR="00683548">
        <w:rPr>
          <w:b w:val="0"/>
          <w:bCs w:val="0"/>
          <w:lang w:val="mn-MN"/>
        </w:rPr>
        <w:t xml:space="preserve"> болох ба </w:t>
      </w:r>
      <w:r w:rsidR="00EF1609">
        <w:rPr>
          <w:b w:val="0"/>
          <w:bCs w:val="0"/>
          <w:lang w:val="mn-MN"/>
        </w:rPr>
        <w:t xml:space="preserve">цахим хуудаст </w:t>
      </w:r>
      <w:r w:rsidR="00683548">
        <w:rPr>
          <w:b w:val="0"/>
          <w:bCs w:val="0"/>
          <w:lang w:val="mn-MN"/>
        </w:rPr>
        <w:t xml:space="preserve">зөвхөн </w:t>
      </w:r>
      <w:r w:rsidR="00355246">
        <w:rPr>
          <w:b w:val="0"/>
          <w:bCs w:val="0"/>
          <w:lang w:val="mn-MN"/>
        </w:rPr>
        <w:t>бүртгэл үүсгэсэн хэрэглэгчдэд чиглэсэн мэдээлэл</w:t>
      </w:r>
      <w:r w:rsidR="00683548">
        <w:rPr>
          <w:b w:val="0"/>
          <w:bCs w:val="0"/>
          <w:lang w:val="mn-MN"/>
        </w:rPr>
        <w:t xml:space="preserve"> нийтэлсэн </w:t>
      </w:r>
      <w:r w:rsidR="00E9517D" w:rsidRPr="00C24771">
        <w:rPr>
          <w:b w:val="0"/>
          <w:bCs w:val="0"/>
          <w:lang w:val="mn-MN"/>
        </w:rPr>
        <w:t>хэмээ</w:t>
      </w:r>
      <w:r w:rsidR="00046B8F">
        <w:rPr>
          <w:b w:val="0"/>
          <w:bCs w:val="0"/>
          <w:lang w:val="mn-MN"/>
        </w:rPr>
        <w:t>н</w:t>
      </w:r>
      <w:r w:rsidR="00E9517D" w:rsidRPr="00C24771">
        <w:rPr>
          <w:b w:val="0"/>
          <w:bCs w:val="0"/>
          <w:lang w:val="mn-MN"/>
        </w:rPr>
        <w:t xml:space="preserve"> маргажээ</w:t>
      </w:r>
      <w:r w:rsidR="00B62B5C" w:rsidRPr="00C24771">
        <w:rPr>
          <w:b w:val="0"/>
          <w:bCs w:val="0"/>
          <w:lang w:val="mn-MN"/>
        </w:rPr>
        <w:t>.</w:t>
      </w:r>
    </w:p>
    <w:p w14:paraId="250A6FC8" w14:textId="77777777" w:rsidR="007D2B88" w:rsidRPr="00C24771" w:rsidRDefault="007D2B88" w:rsidP="008305ED">
      <w:pPr>
        <w:pStyle w:val="Heading1"/>
        <w:spacing w:before="156" w:after="240"/>
        <w:ind w:left="0"/>
        <w:jc w:val="left"/>
        <w:rPr>
          <w:lang w:val="mn-MN"/>
        </w:rPr>
      </w:pPr>
      <w:r w:rsidRPr="00C24771">
        <w:rPr>
          <w:color w:val="006FC0"/>
          <w:lang w:val="mn-MN"/>
        </w:rPr>
        <w:lastRenderedPageBreak/>
        <w:t>ХУУЛЬ</w:t>
      </w:r>
      <w:r w:rsidRPr="00C24771">
        <w:rPr>
          <w:color w:val="006FC0"/>
          <w:spacing w:val="-4"/>
          <w:lang w:val="mn-MN"/>
        </w:rPr>
        <w:t xml:space="preserve"> </w:t>
      </w:r>
      <w:r w:rsidRPr="00C24771">
        <w:rPr>
          <w:color w:val="006FC0"/>
          <w:lang w:val="mn-MN"/>
        </w:rPr>
        <w:t>ХЭРЭГЛЭЭ,</w:t>
      </w:r>
      <w:r w:rsidRPr="00C24771">
        <w:rPr>
          <w:color w:val="006FC0"/>
          <w:spacing w:val="-5"/>
          <w:lang w:val="mn-MN"/>
        </w:rPr>
        <w:t xml:space="preserve"> </w:t>
      </w:r>
      <w:r w:rsidRPr="00C24771">
        <w:rPr>
          <w:color w:val="006FC0"/>
          <w:lang w:val="mn-MN"/>
        </w:rPr>
        <w:t>ШҮҮХИЙН ШИЙДВЭР</w:t>
      </w:r>
    </w:p>
    <w:p w14:paraId="1C6F07FA" w14:textId="4DD5BAE1" w:rsidR="007D2B88" w:rsidRPr="00C24771" w:rsidRDefault="007D2B88" w:rsidP="008305ED">
      <w:pPr>
        <w:spacing w:after="240"/>
        <w:ind w:firstLine="720"/>
        <w:jc w:val="both"/>
        <w:rPr>
          <w:color w:val="0070C0"/>
          <w:sz w:val="24"/>
          <w:szCs w:val="24"/>
          <w:lang w:val="mn-MN"/>
        </w:rPr>
      </w:pPr>
      <w:r w:rsidRPr="00C24771">
        <w:rPr>
          <w:b/>
          <w:bCs/>
          <w:i/>
          <w:sz w:val="24"/>
          <w:szCs w:val="24"/>
          <w:lang w:val="mn-MN"/>
        </w:rPr>
        <w:t>Анхан шатны шүүхээс</w:t>
      </w:r>
      <w:r w:rsidRPr="00C24771">
        <w:rPr>
          <w:b/>
          <w:bCs/>
          <w:sz w:val="24"/>
          <w:szCs w:val="24"/>
          <w:lang w:val="mn-MN"/>
        </w:rPr>
        <w:t>:</w:t>
      </w:r>
      <w:r w:rsidRPr="00C24771">
        <w:rPr>
          <w:sz w:val="24"/>
          <w:szCs w:val="24"/>
          <w:lang w:val="mn-MN"/>
        </w:rPr>
        <w:t xml:space="preserve"> гомдлын шаардлагыг </w:t>
      </w:r>
      <w:r w:rsidR="00550B17" w:rsidRPr="00C24771">
        <w:rPr>
          <w:sz w:val="24"/>
          <w:szCs w:val="24"/>
          <w:lang w:val="mn-MN"/>
        </w:rPr>
        <w:t>үндэслэлгүй гэж үзсэн боловч төлөх ёстой торгуулийн хэмжээг 1400 евро болгон багасгаж шийдвэрлэсэн байна.</w:t>
      </w:r>
    </w:p>
    <w:p w14:paraId="6A91BDC3" w14:textId="3A3B1524" w:rsidR="007D2B88" w:rsidRPr="00C24771" w:rsidRDefault="007D2B88" w:rsidP="008305ED">
      <w:pPr>
        <w:spacing w:after="240"/>
        <w:ind w:firstLine="720"/>
        <w:jc w:val="both"/>
        <w:rPr>
          <w:sz w:val="24"/>
          <w:szCs w:val="24"/>
          <w:lang w:val="mn-MN"/>
        </w:rPr>
      </w:pPr>
      <w:r w:rsidRPr="00C24771">
        <w:rPr>
          <w:b/>
          <w:i/>
          <w:sz w:val="24"/>
          <w:szCs w:val="24"/>
          <w:lang w:val="mn-MN"/>
        </w:rPr>
        <w:t>Давж заалдах шатны шүүх</w:t>
      </w:r>
      <w:r w:rsidR="00046B8F">
        <w:rPr>
          <w:b/>
          <w:i/>
          <w:sz w:val="24"/>
          <w:szCs w:val="24"/>
          <w:lang w:val="mn-MN"/>
        </w:rPr>
        <w:t xml:space="preserve"> </w:t>
      </w:r>
      <w:r w:rsidR="00046B8F" w:rsidRPr="00B34651">
        <w:rPr>
          <w:b/>
          <w:iCs/>
          <w:sz w:val="24"/>
          <w:szCs w:val="24"/>
          <w:lang w:val="mn-MN"/>
        </w:rPr>
        <w:t>(Захиргааны дээд шүүх)</w:t>
      </w:r>
      <w:r w:rsidR="00B34651" w:rsidRPr="00B34651">
        <w:rPr>
          <w:b/>
          <w:iCs/>
          <w:sz w:val="24"/>
          <w:szCs w:val="24"/>
          <w:lang w:val="mn-MN"/>
        </w:rPr>
        <w:t>-ээс</w:t>
      </w:r>
      <w:r w:rsidRPr="00046B8F">
        <w:rPr>
          <w:bCs/>
          <w:iCs/>
          <w:sz w:val="24"/>
          <w:szCs w:val="24"/>
          <w:lang w:val="mn-MN"/>
        </w:rPr>
        <w:t>:</w:t>
      </w:r>
      <w:r w:rsidRPr="00C24771">
        <w:rPr>
          <w:sz w:val="24"/>
          <w:szCs w:val="24"/>
          <w:lang w:val="mn-MN"/>
        </w:rPr>
        <w:t xml:space="preserve"> </w:t>
      </w:r>
      <w:r w:rsidR="005D1679" w:rsidRPr="00C24771">
        <w:rPr>
          <w:sz w:val="24"/>
          <w:szCs w:val="24"/>
          <w:lang w:val="mn-MN"/>
        </w:rPr>
        <w:t>Тамхидалт болон тамхины хяналтын тухай хуулийн 11 дүгээр зүйлийн 11.1 дэх хэсэгт заасан хориглолт</w:t>
      </w:r>
      <w:r w:rsidR="00AB4F26">
        <w:rPr>
          <w:sz w:val="24"/>
          <w:szCs w:val="24"/>
          <w:lang w:val="mn-MN"/>
        </w:rPr>
        <w:t>од</w:t>
      </w:r>
      <w:r w:rsidR="005D1679" w:rsidRPr="00C24771">
        <w:rPr>
          <w:sz w:val="24"/>
          <w:szCs w:val="24"/>
          <w:lang w:val="mn-MN"/>
        </w:rPr>
        <w:t xml:space="preserve"> тамхины </w:t>
      </w:r>
      <w:r w:rsidR="005D1679" w:rsidRPr="00C24771">
        <w:rPr>
          <w:color w:val="0070C0"/>
          <w:sz w:val="24"/>
          <w:szCs w:val="24"/>
          <w:lang w:val="mn-MN"/>
        </w:rPr>
        <w:t xml:space="preserve">бүтээгдэхүүний борлуулалтыг дэмжих зорилготой аливаа хэлбэрийн </w:t>
      </w:r>
      <w:r w:rsidR="00F96E45" w:rsidRPr="00C24771">
        <w:rPr>
          <w:color w:val="0070C0"/>
          <w:sz w:val="24"/>
          <w:szCs w:val="24"/>
          <w:lang w:val="mn-MN"/>
        </w:rPr>
        <w:t>зар сурта</w:t>
      </w:r>
      <w:r w:rsidR="00BE24E8">
        <w:rPr>
          <w:color w:val="0070C0"/>
          <w:sz w:val="24"/>
          <w:szCs w:val="24"/>
          <w:lang w:val="mn-MN"/>
        </w:rPr>
        <w:t>л</w:t>
      </w:r>
      <w:r w:rsidR="00F96E45" w:rsidRPr="00C24771">
        <w:rPr>
          <w:color w:val="0070C0"/>
          <w:sz w:val="24"/>
          <w:szCs w:val="24"/>
          <w:lang w:val="mn-MN"/>
        </w:rPr>
        <w:t>чилгаа</w:t>
      </w:r>
      <w:r w:rsidR="00145479" w:rsidRPr="00C24771">
        <w:rPr>
          <w:color w:val="0070C0"/>
          <w:sz w:val="24"/>
          <w:szCs w:val="24"/>
          <w:lang w:val="mn-MN"/>
        </w:rPr>
        <w:t>г хамаар</w:t>
      </w:r>
      <w:r w:rsidR="00AB4F26">
        <w:rPr>
          <w:color w:val="0070C0"/>
          <w:sz w:val="24"/>
          <w:szCs w:val="24"/>
          <w:lang w:val="mn-MN"/>
        </w:rPr>
        <w:t>уулах</w:t>
      </w:r>
      <w:r w:rsidR="00145479" w:rsidRPr="00C24771">
        <w:rPr>
          <w:color w:val="0070C0"/>
          <w:sz w:val="24"/>
          <w:szCs w:val="24"/>
          <w:lang w:val="mn-MN"/>
        </w:rPr>
        <w:t xml:space="preserve"> </w:t>
      </w:r>
      <w:r w:rsidR="00145479" w:rsidRPr="00C24771">
        <w:rPr>
          <w:sz w:val="24"/>
          <w:szCs w:val="24"/>
          <w:lang w:val="mn-MN"/>
        </w:rPr>
        <w:t>ба Австри Улсын Дээд шүүхийн</w:t>
      </w:r>
      <w:r w:rsidR="00145479" w:rsidRPr="00C24771">
        <w:rPr>
          <w:b/>
          <w:bCs/>
          <w:sz w:val="24"/>
          <w:szCs w:val="24"/>
          <w:lang w:val="mn-MN"/>
        </w:rPr>
        <w:t xml:space="preserve"> </w:t>
      </w:r>
      <w:r w:rsidR="00145479" w:rsidRPr="00C24771">
        <w:rPr>
          <w:sz w:val="24"/>
          <w:szCs w:val="24"/>
          <w:lang w:val="mn-MN"/>
        </w:rPr>
        <w:t xml:space="preserve">практикаас үзвэл, бүтээгдэхүүн, үйлчилгээний борлуулалтыг нэмэгдүүлэх болон тухайн </w:t>
      </w:r>
      <w:r w:rsidR="00295630">
        <w:rPr>
          <w:sz w:val="24"/>
          <w:szCs w:val="24"/>
          <w:lang w:val="mn-MN"/>
        </w:rPr>
        <w:t>аж ахуйн нэгжийн</w:t>
      </w:r>
      <w:r w:rsidR="00145479" w:rsidRPr="00C24771">
        <w:rPr>
          <w:sz w:val="24"/>
          <w:szCs w:val="24"/>
          <w:lang w:val="mn-MN"/>
        </w:rPr>
        <w:t xml:space="preserve"> нэр хүндийг өсгөхөд чиглэсэн бүх хэлбэрийн </w:t>
      </w:r>
      <w:r w:rsidR="00FA0133" w:rsidRPr="00C24771">
        <w:rPr>
          <w:sz w:val="24"/>
          <w:szCs w:val="24"/>
          <w:lang w:val="mn-MN"/>
        </w:rPr>
        <w:t>харилцаа холбоог</w:t>
      </w:r>
      <w:r w:rsidR="00A02757" w:rsidRPr="00C24771">
        <w:rPr>
          <w:sz w:val="24"/>
          <w:szCs w:val="24"/>
          <w:lang w:val="mn-MN"/>
        </w:rPr>
        <w:t xml:space="preserve"> ойлгохоор байна. Өөрөөр хэлбэл,</w:t>
      </w:r>
      <w:r w:rsidR="00E60125" w:rsidRPr="00C24771">
        <w:rPr>
          <w:sz w:val="24"/>
          <w:szCs w:val="24"/>
          <w:lang w:val="mn-MN"/>
        </w:rPr>
        <w:t xml:space="preserve"> тус хориглолтыг</w:t>
      </w:r>
      <w:r w:rsidR="00A02757" w:rsidRPr="00C24771">
        <w:rPr>
          <w:sz w:val="24"/>
          <w:szCs w:val="24"/>
          <w:lang w:val="mn-MN"/>
        </w:rPr>
        <w:t xml:space="preserve"> зөвхөн шууд борлуулалтын сурталчилгаагаар хязгаарл</w:t>
      </w:r>
      <w:r w:rsidR="00E60125" w:rsidRPr="00C24771">
        <w:rPr>
          <w:sz w:val="24"/>
          <w:szCs w:val="24"/>
          <w:lang w:val="mn-MN"/>
        </w:rPr>
        <w:t>ахгүй бөгөөд борлуулалтыг дэмжих бүхий л төрлийн үйл ажиллагааг хам</w:t>
      </w:r>
      <w:r w:rsidR="00A2421C" w:rsidRPr="00C24771">
        <w:rPr>
          <w:sz w:val="24"/>
          <w:szCs w:val="24"/>
          <w:lang w:val="mn-MN"/>
        </w:rPr>
        <w:t>аа</w:t>
      </w:r>
      <w:r w:rsidR="00E60125" w:rsidRPr="00C24771">
        <w:rPr>
          <w:sz w:val="24"/>
          <w:szCs w:val="24"/>
          <w:lang w:val="mn-MN"/>
        </w:rPr>
        <w:t>руул</w:t>
      </w:r>
      <w:r w:rsidR="00FE532B">
        <w:rPr>
          <w:sz w:val="24"/>
          <w:szCs w:val="24"/>
          <w:lang w:val="mn-MN"/>
        </w:rPr>
        <w:t>даг</w:t>
      </w:r>
      <w:r w:rsidR="00E60125" w:rsidRPr="00C24771">
        <w:rPr>
          <w:sz w:val="24"/>
          <w:szCs w:val="24"/>
          <w:lang w:val="mn-MN"/>
        </w:rPr>
        <w:t>.</w:t>
      </w:r>
    </w:p>
    <w:p w14:paraId="660266E2" w14:textId="1D0676D6" w:rsidR="00E60125" w:rsidRPr="00C24771" w:rsidRDefault="00E60125" w:rsidP="008305ED">
      <w:pPr>
        <w:spacing w:after="240"/>
        <w:ind w:firstLine="720"/>
        <w:jc w:val="both"/>
        <w:rPr>
          <w:sz w:val="24"/>
          <w:szCs w:val="24"/>
          <w:lang w:val="mn-MN"/>
        </w:rPr>
      </w:pPr>
      <w:r w:rsidRPr="00C24771">
        <w:rPr>
          <w:sz w:val="24"/>
          <w:szCs w:val="24"/>
          <w:lang w:val="mn-MN"/>
        </w:rPr>
        <w:t xml:space="preserve">Маргаан бүхий цахим хуудаст бараа бүтээгдэхүүний жагсаалтаас гадна </w:t>
      </w:r>
      <w:r w:rsidR="00FA0133" w:rsidRPr="00C24771">
        <w:rPr>
          <w:sz w:val="24"/>
          <w:szCs w:val="24"/>
          <w:lang w:val="mn-MN"/>
        </w:rPr>
        <w:t xml:space="preserve">тодорхой </w:t>
      </w:r>
      <w:r w:rsidRPr="00C24771">
        <w:rPr>
          <w:sz w:val="24"/>
          <w:szCs w:val="24"/>
          <w:lang w:val="mn-MN"/>
        </w:rPr>
        <w:t>бүтээгдэхүүн</w:t>
      </w:r>
      <w:r w:rsidR="00EE624A" w:rsidRPr="00C24771">
        <w:rPr>
          <w:sz w:val="24"/>
          <w:szCs w:val="24"/>
          <w:lang w:val="mn-MN"/>
        </w:rPr>
        <w:t>ийг</w:t>
      </w:r>
      <w:r w:rsidRPr="00C24771">
        <w:rPr>
          <w:sz w:val="24"/>
          <w:szCs w:val="24"/>
          <w:lang w:val="mn-MN"/>
        </w:rPr>
        <w:t xml:space="preserve"> санал болго</w:t>
      </w:r>
      <w:r w:rsidR="00FA0133" w:rsidRPr="00C24771">
        <w:rPr>
          <w:sz w:val="24"/>
          <w:szCs w:val="24"/>
          <w:lang w:val="mn-MN"/>
        </w:rPr>
        <w:t>ж</w:t>
      </w:r>
      <w:r w:rsidRPr="00C24771">
        <w:rPr>
          <w:sz w:val="24"/>
          <w:szCs w:val="24"/>
          <w:lang w:val="mn-MN"/>
        </w:rPr>
        <w:t xml:space="preserve">, “ухаалаг электрон тамхины дэлгүүр” </w:t>
      </w:r>
      <w:r w:rsidR="00C24771" w:rsidRPr="00C24771">
        <w:rPr>
          <w:sz w:val="24"/>
          <w:szCs w:val="24"/>
          <w:lang w:val="mn-MN"/>
        </w:rPr>
        <w:t>(</w:t>
      </w:r>
      <w:r w:rsidR="00C24771">
        <w:rPr>
          <w:sz w:val="24"/>
          <w:szCs w:val="24"/>
          <w:lang w:val="mn-MN"/>
        </w:rPr>
        <w:t xml:space="preserve">гер. </w:t>
      </w:r>
      <w:r w:rsidR="00C24771" w:rsidRPr="00C24771">
        <w:rPr>
          <w:i/>
          <w:iCs/>
          <w:sz w:val="24"/>
          <w:szCs w:val="24"/>
          <w:lang w:val="mn-MN"/>
        </w:rPr>
        <w:t>das geniale Dampferlokal</w:t>
      </w:r>
      <w:r w:rsidR="00C24771" w:rsidRPr="00C24771">
        <w:rPr>
          <w:sz w:val="24"/>
          <w:szCs w:val="24"/>
          <w:lang w:val="mn-MN"/>
        </w:rPr>
        <w:t>)</w:t>
      </w:r>
      <w:r w:rsidR="00C24771">
        <w:rPr>
          <w:sz w:val="24"/>
          <w:szCs w:val="24"/>
          <w:lang w:val="mn-MN"/>
        </w:rPr>
        <w:t xml:space="preserve"> </w:t>
      </w:r>
      <w:r w:rsidRPr="00C24771">
        <w:rPr>
          <w:sz w:val="24"/>
          <w:szCs w:val="24"/>
          <w:lang w:val="mn-MN"/>
        </w:rPr>
        <w:t xml:space="preserve">гэх тодотгол, </w:t>
      </w:r>
      <w:r w:rsidR="00A6190E" w:rsidRPr="00C24771">
        <w:rPr>
          <w:sz w:val="24"/>
          <w:szCs w:val="24"/>
          <w:lang w:val="mn-MN"/>
        </w:rPr>
        <w:t xml:space="preserve">“шинэ технологи” гэх мэдээлэл нийтэлсэн нь </w:t>
      </w:r>
      <w:r w:rsidR="00A6190E" w:rsidRPr="00C24771">
        <w:rPr>
          <w:color w:val="0070C0"/>
          <w:sz w:val="24"/>
          <w:szCs w:val="24"/>
          <w:lang w:val="mn-MN"/>
        </w:rPr>
        <w:t>хэрэглэгчдэд тухайн бүтээгдэхүүнийг хэрэглэх сэдэл бий болгож, шууд бус байдлаар худалдан авалта</w:t>
      </w:r>
      <w:r w:rsidR="00AB4F26">
        <w:rPr>
          <w:color w:val="0070C0"/>
          <w:sz w:val="24"/>
          <w:szCs w:val="24"/>
          <w:lang w:val="mn-MN"/>
        </w:rPr>
        <w:t>д</w:t>
      </w:r>
      <w:r w:rsidR="00A6190E" w:rsidRPr="00C24771">
        <w:rPr>
          <w:color w:val="0070C0"/>
          <w:sz w:val="24"/>
          <w:szCs w:val="24"/>
          <w:lang w:val="mn-MN"/>
        </w:rPr>
        <w:t xml:space="preserve"> нөлөөлсөн</w:t>
      </w:r>
      <w:r w:rsidR="00A6190E" w:rsidRPr="00C24771">
        <w:rPr>
          <w:sz w:val="24"/>
          <w:szCs w:val="24"/>
          <w:lang w:val="mn-MN"/>
        </w:rPr>
        <w:t xml:space="preserve"> гэж үзэх үндэслэлтэй байна.</w:t>
      </w:r>
    </w:p>
    <w:p w14:paraId="4A3F108A" w14:textId="599AF113" w:rsidR="00C21F9B" w:rsidRPr="00C24771" w:rsidRDefault="00BE1DA7" w:rsidP="008305ED">
      <w:pPr>
        <w:spacing w:after="240"/>
        <w:ind w:firstLine="720"/>
        <w:jc w:val="both"/>
        <w:rPr>
          <w:sz w:val="24"/>
          <w:szCs w:val="24"/>
          <w:lang w:val="mn-MN"/>
        </w:rPr>
      </w:pPr>
      <w:r w:rsidRPr="00C24771">
        <w:rPr>
          <w:sz w:val="24"/>
          <w:szCs w:val="24"/>
          <w:lang w:val="mn-MN"/>
        </w:rPr>
        <w:t xml:space="preserve">Мөн </w:t>
      </w:r>
      <w:r w:rsidR="00A2421C" w:rsidRPr="00C24771">
        <w:rPr>
          <w:sz w:val="24"/>
          <w:szCs w:val="24"/>
          <w:lang w:val="mn-MN"/>
        </w:rPr>
        <w:t>тухайн төрлийн бүтээгдэхүүн борлуулдаг аж ахуйн нэгж цахим хуудастай байх нь хууль ёсны бөгөөд борлуулах бүтээгд</w:t>
      </w:r>
      <w:r w:rsidR="00AB4F26">
        <w:rPr>
          <w:sz w:val="24"/>
          <w:szCs w:val="24"/>
          <w:lang w:val="mn-MN"/>
        </w:rPr>
        <w:t>э</w:t>
      </w:r>
      <w:r w:rsidR="00A2421C" w:rsidRPr="00C24771">
        <w:rPr>
          <w:sz w:val="24"/>
          <w:szCs w:val="24"/>
          <w:lang w:val="mn-MN"/>
        </w:rPr>
        <w:t>хүүнийг жагсаан танилцуулах нь сурта</w:t>
      </w:r>
      <w:r w:rsidR="00AB4F26">
        <w:rPr>
          <w:sz w:val="24"/>
          <w:szCs w:val="24"/>
          <w:lang w:val="mn-MN"/>
        </w:rPr>
        <w:t>л</w:t>
      </w:r>
      <w:r w:rsidR="00A2421C" w:rsidRPr="00C24771">
        <w:rPr>
          <w:sz w:val="24"/>
          <w:szCs w:val="24"/>
          <w:lang w:val="mn-MN"/>
        </w:rPr>
        <w:t xml:space="preserve">чилгаа гэж тооцогдохгүй. Гэвч эдгээр мэдээлэл нь </w:t>
      </w:r>
      <w:r w:rsidR="00C21F9B" w:rsidRPr="00C24771">
        <w:rPr>
          <w:sz w:val="24"/>
          <w:szCs w:val="24"/>
          <w:lang w:val="mn-MN"/>
        </w:rPr>
        <w:t>борлуулалтыг нэмэгдүүлэх шинж чанартай байвал сурта</w:t>
      </w:r>
      <w:r w:rsidR="00AB4F26">
        <w:rPr>
          <w:sz w:val="24"/>
          <w:szCs w:val="24"/>
          <w:lang w:val="mn-MN"/>
        </w:rPr>
        <w:t>л</w:t>
      </w:r>
      <w:r w:rsidR="00C21F9B" w:rsidRPr="00C24771">
        <w:rPr>
          <w:sz w:val="24"/>
          <w:szCs w:val="24"/>
          <w:lang w:val="mn-MN"/>
        </w:rPr>
        <w:t>чилгаа болох б</w:t>
      </w:r>
      <w:r w:rsidR="00EE624A" w:rsidRPr="00C24771">
        <w:rPr>
          <w:sz w:val="24"/>
          <w:szCs w:val="24"/>
          <w:lang w:val="mn-MN"/>
        </w:rPr>
        <w:t>а</w:t>
      </w:r>
      <w:r w:rsidR="00C21F9B" w:rsidRPr="00C24771">
        <w:rPr>
          <w:sz w:val="24"/>
          <w:szCs w:val="24"/>
          <w:lang w:val="mn-MN"/>
        </w:rPr>
        <w:t xml:space="preserve"> нэхэмжлэгчийн цахим хуудаст нийтэлсэн мэдээлэл нь борлуулалтыг нэмэгдүүлэхүйц байна.</w:t>
      </w:r>
    </w:p>
    <w:p w14:paraId="47E60926" w14:textId="284639DE" w:rsidR="00BE1DA7" w:rsidRPr="00C24771" w:rsidRDefault="00C21F9B" w:rsidP="008305ED">
      <w:pPr>
        <w:spacing w:after="240"/>
        <w:ind w:firstLine="720"/>
        <w:jc w:val="both"/>
        <w:rPr>
          <w:sz w:val="24"/>
          <w:szCs w:val="24"/>
          <w:lang w:val="mn-MN"/>
        </w:rPr>
      </w:pPr>
      <w:r w:rsidRPr="00C24771">
        <w:rPr>
          <w:sz w:val="24"/>
          <w:szCs w:val="24"/>
          <w:lang w:val="mn-MN"/>
        </w:rPr>
        <w:t>Түүнчлэн</w:t>
      </w:r>
      <w:r w:rsidR="00402B2D" w:rsidRPr="00C24771">
        <w:rPr>
          <w:sz w:val="24"/>
          <w:szCs w:val="24"/>
          <w:lang w:val="mn-MN"/>
        </w:rPr>
        <w:t xml:space="preserve"> Тамхидалт болон тамхины хяналтын тухай хуулийн 11 дүгээр зүйлийн 11.4 дэх хэсгийн 1 дэх заалтад заасан хориглолтод хамаарахгүй </w:t>
      </w:r>
      <w:r w:rsidR="00584FD8" w:rsidRPr="00C24771">
        <w:rPr>
          <w:sz w:val="24"/>
          <w:szCs w:val="24"/>
          <w:lang w:val="mn-MN"/>
        </w:rPr>
        <w:t>зохицуулалт нь</w:t>
      </w:r>
      <w:r w:rsidR="00402B2D" w:rsidRPr="00C24771">
        <w:rPr>
          <w:sz w:val="24"/>
          <w:szCs w:val="24"/>
          <w:lang w:val="mn-MN"/>
        </w:rPr>
        <w:t xml:space="preserve"> “төрөлжсөн худалдаа эрхэлдэг дэлгүүр” буюу бодит</w:t>
      </w:r>
      <w:r w:rsidR="00046B8F">
        <w:rPr>
          <w:sz w:val="24"/>
          <w:szCs w:val="24"/>
          <w:lang w:val="mn-MN"/>
        </w:rPr>
        <w:t>оор</w:t>
      </w:r>
      <w:r w:rsidR="00402B2D" w:rsidRPr="00C24771">
        <w:rPr>
          <w:sz w:val="24"/>
          <w:szCs w:val="24"/>
          <w:lang w:val="mn-MN"/>
        </w:rPr>
        <w:t xml:space="preserve"> </w:t>
      </w:r>
      <w:r w:rsidR="00046B8F">
        <w:rPr>
          <w:sz w:val="24"/>
          <w:szCs w:val="24"/>
          <w:lang w:val="mn-MN"/>
        </w:rPr>
        <w:t>үйл ажиллагаа явуулдаг</w:t>
      </w:r>
      <w:r w:rsidR="00402B2D" w:rsidRPr="00C24771">
        <w:rPr>
          <w:sz w:val="24"/>
          <w:szCs w:val="24"/>
          <w:lang w:val="mn-MN"/>
        </w:rPr>
        <w:t xml:space="preserve"> тамхины дэлгүүрт хамаарах ойлголт тул нэхэмжлэгчийн цахим хуудастай адилтгах боломжгүй</w:t>
      </w:r>
      <w:r w:rsidR="00584FD8" w:rsidRPr="00C24771">
        <w:rPr>
          <w:sz w:val="24"/>
          <w:szCs w:val="24"/>
          <w:lang w:val="mn-MN"/>
        </w:rPr>
        <w:t xml:space="preserve"> гэж үзжээ</w:t>
      </w:r>
      <w:r w:rsidR="00402B2D" w:rsidRPr="00C24771">
        <w:rPr>
          <w:sz w:val="24"/>
          <w:szCs w:val="24"/>
          <w:lang w:val="mn-MN"/>
        </w:rPr>
        <w:t>.</w:t>
      </w:r>
    </w:p>
    <w:p w14:paraId="2D624C55" w14:textId="43E8B713" w:rsidR="00402B2D" w:rsidRPr="00C24771" w:rsidRDefault="00402B2D" w:rsidP="008305ED">
      <w:pPr>
        <w:ind w:firstLine="720"/>
        <w:jc w:val="both"/>
        <w:rPr>
          <w:sz w:val="24"/>
          <w:szCs w:val="24"/>
          <w:lang w:val="mn-MN"/>
        </w:rPr>
      </w:pPr>
      <w:r w:rsidRPr="00C24771">
        <w:rPr>
          <w:sz w:val="24"/>
          <w:szCs w:val="24"/>
          <w:lang w:val="mn-MN"/>
        </w:rPr>
        <w:t>Ийм</w:t>
      </w:r>
      <w:r w:rsidR="00584FD8" w:rsidRPr="00C24771">
        <w:rPr>
          <w:sz w:val="24"/>
          <w:szCs w:val="24"/>
          <w:lang w:val="mn-MN"/>
        </w:rPr>
        <w:t>д</w:t>
      </w:r>
      <w:r w:rsidRPr="00C24771">
        <w:rPr>
          <w:sz w:val="24"/>
          <w:szCs w:val="24"/>
          <w:lang w:val="mn-MN"/>
        </w:rPr>
        <w:t xml:space="preserve"> Захиргааны дээд шүүхэд гаргасан давж заалдах гомдлыг хэрэгсэхгүй болгож</w:t>
      </w:r>
      <w:r w:rsidR="00613198">
        <w:rPr>
          <w:sz w:val="24"/>
          <w:szCs w:val="24"/>
          <w:lang w:val="mn-MN"/>
        </w:rPr>
        <w:t xml:space="preserve"> буюу гомдол гаргагчийн цахим хуудастаа нийтэлсэн мэдээл</w:t>
      </w:r>
      <w:r w:rsidR="00CC3E65">
        <w:rPr>
          <w:sz w:val="24"/>
          <w:szCs w:val="24"/>
          <w:lang w:val="mn-MN"/>
        </w:rPr>
        <w:t xml:space="preserve">эл нь </w:t>
      </w:r>
      <w:r w:rsidR="00613198">
        <w:rPr>
          <w:sz w:val="24"/>
          <w:szCs w:val="24"/>
          <w:lang w:val="mn-MN"/>
        </w:rPr>
        <w:t>хэрэглэгчид электрон тамхи санал болгосон</w:t>
      </w:r>
      <w:r w:rsidR="00CC3E65">
        <w:rPr>
          <w:sz w:val="24"/>
          <w:szCs w:val="24"/>
          <w:lang w:val="mn-MN"/>
        </w:rPr>
        <w:t>, борлуулалтыг нэмэгдүүлэхүйц үйл ажиллагаа тул хориглосон</w:t>
      </w:r>
      <w:r w:rsidR="00613198">
        <w:rPr>
          <w:sz w:val="24"/>
          <w:szCs w:val="24"/>
          <w:lang w:val="mn-MN"/>
        </w:rPr>
        <w:t xml:space="preserve"> </w:t>
      </w:r>
      <w:r w:rsidR="001D4831">
        <w:rPr>
          <w:sz w:val="24"/>
          <w:szCs w:val="24"/>
          <w:lang w:val="mn-MN"/>
        </w:rPr>
        <w:t xml:space="preserve">тамхины </w:t>
      </w:r>
      <w:r w:rsidR="00613198">
        <w:rPr>
          <w:sz w:val="24"/>
          <w:szCs w:val="24"/>
          <w:lang w:val="mn-MN"/>
        </w:rPr>
        <w:t>зар сурталчилгаа</w:t>
      </w:r>
      <w:r w:rsidR="00CC3E65">
        <w:rPr>
          <w:sz w:val="24"/>
          <w:szCs w:val="24"/>
          <w:lang w:val="mn-MN"/>
        </w:rPr>
        <w:t xml:space="preserve">нд тооцогдоно </w:t>
      </w:r>
      <w:r w:rsidR="00613198">
        <w:rPr>
          <w:sz w:val="24"/>
          <w:szCs w:val="24"/>
          <w:lang w:val="mn-MN"/>
        </w:rPr>
        <w:t>гэж</w:t>
      </w:r>
      <w:r w:rsidRPr="00C24771">
        <w:rPr>
          <w:sz w:val="24"/>
          <w:szCs w:val="24"/>
          <w:lang w:val="mn-MN"/>
        </w:rPr>
        <w:t xml:space="preserve"> шийдвэрлэ</w:t>
      </w:r>
      <w:r w:rsidR="00295630">
        <w:rPr>
          <w:sz w:val="24"/>
          <w:szCs w:val="24"/>
          <w:lang w:val="mn-MN"/>
        </w:rPr>
        <w:t>сэн байна</w:t>
      </w:r>
      <w:r w:rsidRPr="00C24771">
        <w:rPr>
          <w:sz w:val="24"/>
          <w:szCs w:val="24"/>
          <w:lang w:val="mn-MN"/>
        </w:rPr>
        <w:t>.</w:t>
      </w:r>
    </w:p>
    <w:p w14:paraId="4E74801F" w14:textId="77777777" w:rsidR="007D2B88" w:rsidRDefault="007D2B88" w:rsidP="008305ED">
      <w:pPr>
        <w:pStyle w:val="ListParagraph"/>
        <w:jc w:val="both"/>
        <w:rPr>
          <w:iCs/>
          <w:sz w:val="24"/>
          <w:szCs w:val="24"/>
          <w:lang w:val="mn-MN"/>
        </w:rPr>
      </w:pPr>
    </w:p>
    <w:p w14:paraId="4E4D7DC0" w14:textId="77777777" w:rsidR="00EA7578" w:rsidRDefault="00EA7578" w:rsidP="008305ED">
      <w:pPr>
        <w:pStyle w:val="ListParagraph"/>
        <w:jc w:val="both"/>
        <w:rPr>
          <w:iCs/>
          <w:sz w:val="24"/>
          <w:szCs w:val="24"/>
          <w:lang w:val="mn-MN"/>
        </w:rPr>
      </w:pPr>
    </w:p>
    <w:p w14:paraId="18C8C85E" w14:textId="77777777" w:rsidR="00EA7578" w:rsidRPr="003F6EB4" w:rsidRDefault="00EA7578" w:rsidP="008305ED">
      <w:pPr>
        <w:pStyle w:val="ListParagraph"/>
        <w:jc w:val="both"/>
        <w:rPr>
          <w:iCs/>
          <w:sz w:val="24"/>
          <w:szCs w:val="24"/>
          <w:lang w:val="mn-MN"/>
        </w:rPr>
      </w:pPr>
    </w:p>
    <w:p w14:paraId="69BB8421" w14:textId="77777777" w:rsidR="00EA7578" w:rsidRPr="00FE392C" w:rsidRDefault="00EA7578" w:rsidP="00EA7578">
      <w:pPr>
        <w:jc w:val="center"/>
        <w:rPr>
          <w:lang w:val="mn-MN"/>
        </w:rPr>
      </w:pPr>
      <w:r w:rsidRPr="00FE392C">
        <w:rPr>
          <w:lang w:val="mn-MN"/>
        </w:rPr>
        <w:t>---o0o---</w:t>
      </w:r>
    </w:p>
    <w:p w14:paraId="2B7C0F04" w14:textId="77777777" w:rsidR="0067693A" w:rsidRPr="0067693A" w:rsidRDefault="0067693A" w:rsidP="008305ED">
      <w:pPr>
        <w:rPr>
          <w:lang w:val="mn-MN"/>
        </w:rPr>
      </w:pPr>
    </w:p>
    <w:sectPr w:rsidR="0067693A" w:rsidRPr="0067693A" w:rsidSect="005E3812">
      <w:headerReference w:type="default" r:id="rId8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3B98B" w14:textId="77777777" w:rsidR="005E5E81" w:rsidRDefault="005E5E81" w:rsidP="0067693A">
      <w:r>
        <w:separator/>
      </w:r>
    </w:p>
  </w:endnote>
  <w:endnote w:type="continuationSeparator" w:id="0">
    <w:p w14:paraId="447C8618" w14:textId="77777777" w:rsidR="005E5E81" w:rsidRDefault="005E5E81" w:rsidP="006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E48D1" w14:textId="77777777" w:rsidR="005E5E81" w:rsidRDefault="005E5E81" w:rsidP="0067693A">
      <w:r>
        <w:separator/>
      </w:r>
    </w:p>
  </w:footnote>
  <w:footnote w:type="continuationSeparator" w:id="0">
    <w:p w14:paraId="14EE4533" w14:textId="77777777" w:rsidR="005E5E81" w:rsidRDefault="005E5E81" w:rsidP="0067693A">
      <w:r>
        <w:continuationSeparator/>
      </w:r>
    </w:p>
  </w:footnote>
  <w:footnote w:id="1">
    <w:p w14:paraId="66640C70" w14:textId="398296F0" w:rsidR="007D2B88" w:rsidRPr="008305ED" w:rsidRDefault="007D2B88" w:rsidP="008305ED">
      <w:pPr>
        <w:tabs>
          <w:tab w:val="left" w:pos="1879"/>
          <w:tab w:val="left" w:pos="3484"/>
          <w:tab w:val="left" w:pos="5383"/>
          <w:tab w:val="left" w:pos="6712"/>
          <w:tab w:val="left" w:pos="8014"/>
          <w:tab w:val="left" w:pos="9196"/>
        </w:tabs>
        <w:spacing w:before="65"/>
        <w:ind w:right="115"/>
        <w:jc w:val="both"/>
        <w:rPr>
          <w:spacing w:val="-51"/>
          <w:sz w:val="20"/>
          <w:szCs w:val="20"/>
          <w:lang w:val="mn-MN"/>
        </w:rPr>
      </w:pPr>
      <w:r w:rsidRPr="008305ED">
        <w:rPr>
          <w:rStyle w:val="FootnoteReference"/>
          <w:sz w:val="20"/>
          <w:szCs w:val="20"/>
        </w:rPr>
        <w:footnoteRef/>
      </w:r>
      <w:r w:rsidRPr="008305ED">
        <w:rPr>
          <w:sz w:val="20"/>
          <w:szCs w:val="20"/>
        </w:rPr>
        <w:t xml:space="preserve"> Шүүхийн</w:t>
      </w:r>
      <w:r w:rsidRPr="008305ED">
        <w:rPr>
          <w:sz w:val="20"/>
          <w:szCs w:val="20"/>
        </w:rPr>
        <w:tab/>
        <w:t>шийдвэрийг</w:t>
      </w:r>
      <w:r w:rsidRPr="008305ED">
        <w:rPr>
          <w:sz w:val="20"/>
          <w:szCs w:val="20"/>
        </w:rPr>
        <w:tab/>
        <w:t>бүрэн</w:t>
      </w:r>
      <w:r w:rsidRPr="008305ED">
        <w:rPr>
          <w:sz w:val="20"/>
          <w:szCs w:val="20"/>
        </w:rPr>
        <w:tab/>
        <w:t>эхээр</w:t>
      </w:r>
      <w:r w:rsidRPr="008305ED">
        <w:rPr>
          <w:sz w:val="20"/>
          <w:szCs w:val="20"/>
        </w:rPr>
        <w:tab/>
        <w:t>үзэх</w:t>
      </w:r>
      <w:r w:rsidRPr="008305ED">
        <w:rPr>
          <w:sz w:val="20"/>
          <w:szCs w:val="20"/>
        </w:rPr>
        <w:tab/>
        <w:t>холбоос:</w:t>
      </w:r>
      <w:r w:rsidRPr="008305ED">
        <w:rPr>
          <w:spacing w:val="-51"/>
          <w:sz w:val="20"/>
          <w:szCs w:val="20"/>
          <w:lang w:val="mn-MN"/>
        </w:rPr>
        <w:t xml:space="preserve"> </w:t>
      </w:r>
      <w:r w:rsidR="000D5B64" w:rsidRPr="008305ED">
        <w:rPr>
          <w:sz w:val="20"/>
          <w:szCs w:val="20"/>
        </w:rPr>
        <w:t xml:space="preserve"> </w:t>
      </w:r>
      <w:hyperlink r:id="rId1" w:history="1">
        <w:r w:rsidR="000D5B64" w:rsidRPr="008305ED">
          <w:rPr>
            <w:rStyle w:val="Hyperlink"/>
            <w:sz w:val="20"/>
            <w:szCs w:val="20"/>
          </w:rPr>
          <w:t>https://www.vwgh.gv.at/rechtsprechung/aktuelle_entscheidungen/2021/ra_2018110143.html</w:t>
        </w:r>
      </w:hyperlink>
      <w:r w:rsidR="000D5B64" w:rsidRPr="008305ED">
        <w:rPr>
          <w:sz w:val="20"/>
          <w:szCs w:val="20"/>
        </w:rPr>
        <w:t xml:space="preserve">, Шүүхийн шийдвэрийг хураангуйлахдаа эх хувилбарын бүтцийг өөрчилсөн болно. </w:t>
      </w:r>
    </w:p>
  </w:footnote>
  <w:footnote w:id="2">
    <w:p w14:paraId="664AAC5E" w14:textId="1EA225A0" w:rsidR="001F02BE" w:rsidRPr="008305ED" w:rsidRDefault="001F02BE" w:rsidP="008305ED">
      <w:pPr>
        <w:pStyle w:val="FootnoteText"/>
        <w:jc w:val="both"/>
        <w:rPr>
          <w:lang w:val="mn-MN"/>
        </w:rPr>
      </w:pPr>
      <w:r w:rsidRPr="008305ED">
        <w:rPr>
          <w:rStyle w:val="FootnoteReference"/>
        </w:rPr>
        <w:footnoteRef/>
      </w:r>
      <w:r w:rsidRPr="008305ED">
        <w:rPr>
          <w:lang w:val="mn-MN"/>
        </w:rPr>
        <w:t xml:space="preserve"> </w:t>
      </w:r>
      <w:r w:rsidR="00E9517D" w:rsidRPr="008305ED">
        <w:rPr>
          <w:lang w:val="mn-MN"/>
        </w:rPr>
        <w:t xml:space="preserve">Тамхидалт болон тамхины хяналтын тухай хууль (1995) - Tabak- und Nichtraucherinnen- bzw. Nichtraucherschutzgesetz, </w:t>
      </w:r>
      <w:hyperlink r:id="rId2" w:history="1">
        <w:r w:rsidR="00E9517D" w:rsidRPr="008305ED">
          <w:rPr>
            <w:rStyle w:val="Hyperlink"/>
            <w:lang w:val="mn-MN"/>
          </w:rPr>
          <w:t>https://www.ris.bka.gv.at/GeltendeFassung.wxe?Abfrage=Bundesnormen&amp;Gesetzesnummer=10010907</w:t>
        </w:r>
      </w:hyperlink>
      <w:r w:rsidR="00E9517D" w:rsidRPr="008305ED">
        <w:rPr>
          <w:lang w:val="mn-MN"/>
        </w:rPr>
        <w:t xml:space="preserve">. </w:t>
      </w:r>
    </w:p>
  </w:footnote>
  <w:footnote w:id="3">
    <w:p w14:paraId="4B866381" w14:textId="479FB271" w:rsidR="00E9517D" w:rsidRPr="008305ED" w:rsidRDefault="00E9517D" w:rsidP="008305ED">
      <w:pPr>
        <w:pStyle w:val="FootnoteText"/>
        <w:jc w:val="both"/>
        <w:rPr>
          <w:lang w:val="mn-MN"/>
        </w:rPr>
      </w:pPr>
      <w:r w:rsidRPr="008305ED">
        <w:rPr>
          <w:rStyle w:val="FootnoteReference"/>
        </w:rPr>
        <w:footnoteRef/>
      </w:r>
      <w:r w:rsidRPr="008305ED">
        <w:rPr>
          <w:lang w:val="mn-MN"/>
        </w:rPr>
        <w:t xml:space="preserve"> </w:t>
      </w:r>
      <w:r w:rsidR="0078023D" w:rsidRPr="008305ED">
        <w:rPr>
          <w:lang w:val="mn-MN"/>
        </w:rPr>
        <w:t>Тамхидалт болон тамхины хяналтын тухай хууль (1995)-ийн 11 дүгээр зүйлийн 11.1 дэх хэсэгт “</w:t>
      </w:r>
      <w:r w:rsidR="0078023D" w:rsidRPr="008305ED">
        <w:rPr>
          <w:i/>
          <w:iCs/>
          <w:lang w:val="mn-MN"/>
        </w:rPr>
        <w:t>тамхи болон түүнтэй холбоотой бүтээгдэхүүнийг сурталчлах, ивээн тэтгэхийг хориглоно</w:t>
      </w:r>
      <w:r w:rsidR="0078023D" w:rsidRPr="008305ED">
        <w:rPr>
          <w:lang w:val="mn-MN"/>
        </w:rPr>
        <w:t>”  -</w:t>
      </w:r>
      <w:r w:rsidR="00B71B0F" w:rsidRPr="008305ED">
        <w:rPr>
          <w:rFonts w:ascii="Times New Roman" w:eastAsia="Times New Roman" w:hAnsi="Times New Roman" w:cs="Times New Roman"/>
          <w:lang w:val="mn-MN"/>
        </w:rPr>
        <w:t xml:space="preserve"> </w:t>
      </w:r>
      <w:r w:rsidR="0078023D" w:rsidRPr="008305ED">
        <w:rPr>
          <w:lang w:val="mn-MN"/>
        </w:rPr>
        <w:t>§</w:t>
      </w:r>
      <w:r w:rsidR="00B71B0F" w:rsidRPr="008305ED">
        <w:rPr>
          <w:lang w:val="mn-MN"/>
        </w:rPr>
        <w:t xml:space="preserve"> 11 Satz 1 TNRSG.</w:t>
      </w:r>
    </w:p>
  </w:footnote>
  <w:footnote w:id="4">
    <w:p w14:paraId="105F900C" w14:textId="41D35126" w:rsidR="00E9517D" w:rsidRPr="008305ED" w:rsidRDefault="00E9517D" w:rsidP="008305ED">
      <w:pPr>
        <w:pStyle w:val="FootnoteText"/>
        <w:jc w:val="both"/>
        <w:rPr>
          <w:lang w:val="mn-MN"/>
        </w:rPr>
      </w:pPr>
      <w:r w:rsidRPr="008305ED">
        <w:rPr>
          <w:rStyle w:val="FootnoteReference"/>
        </w:rPr>
        <w:footnoteRef/>
      </w:r>
      <w:r w:rsidRPr="008305ED">
        <w:rPr>
          <w:lang w:val="mn-MN"/>
        </w:rPr>
        <w:t xml:space="preserve"> </w:t>
      </w:r>
      <w:r w:rsidR="00B71B0F" w:rsidRPr="008305ED">
        <w:rPr>
          <w:lang w:val="mn-MN"/>
        </w:rPr>
        <w:t>Тамхидалт болон тамхины хяналтын тухай хууль (1995)-ийн 11 дүгээр зүйлийн 11.2 дахь хэсэгт “</w:t>
      </w:r>
      <w:r w:rsidR="00480DB3" w:rsidRPr="008305ED">
        <w:rPr>
          <w:i/>
          <w:iCs/>
          <w:lang w:val="mn-MN"/>
        </w:rPr>
        <w:t xml:space="preserve">Дээрх хориглолтод </w:t>
      </w:r>
      <w:r w:rsidR="00BC1CD3" w:rsidRPr="008305ED">
        <w:rPr>
          <w:i/>
          <w:iCs/>
          <w:lang w:val="mn-MN"/>
        </w:rPr>
        <w:t xml:space="preserve">шууд болон шууд бус борлуулалтыг дэмжих зорилгоор хийсэн нийгмийн сүлжээ, </w:t>
      </w:r>
      <w:r w:rsidR="00480DB3" w:rsidRPr="008305ED">
        <w:rPr>
          <w:i/>
          <w:iCs/>
          <w:lang w:val="mn-MN"/>
        </w:rPr>
        <w:t>хэвлэл мэдээлэл болон бусад хэвлэмэл нийтлэл дэх сурта</w:t>
      </w:r>
      <w:r w:rsidR="00703BE5" w:rsidRPr="008305ED">
        <w:rPr>
          <w:i/>
          <w:iCs/>
          <w:lang w:val="mn-MN"/>
        </w:rPr>
        <w:t>л</w:t>
      </w:r>
      <w:r w:rsidR="00480DB3" w:rsidRPr="008305ED">
        <w:rPr>
          <w:i/>
          <w:iCs/>
          <w:lang w:val="mn-MN"/>
        </w:rPr>
        <w:t>чилгаа хамаарна</w:t>
      </w:r>
      <w:r w:rsidR="00B71B0F" w:rsidRPr="008305ED">
        <w:rPr>
          <w:lang w:val="mn-MN"/>
        </w:rPr>
        <w:t>”  -</w:t>
      </w:r>
      <w:r w:rsidR="00B71B0F" w:rsidRPr="008305ED">
        <w:rPr>
          <w:rFonts w:ascii="Times New Roman" w:eastAsia="Times New Roman" w:hAnsi="Times New Roman" w:cs="Times New Roman"/>
          <w:lang w:val="mn-MN"/>
        </w:rPr>
        <w:t xml:space="preserve"> </w:t>
      </w:r>
      <w:r w:rsidR="00B71B0F" w:rsidRPr="008305ED">
        <w:rPr>
          <w:lang w:val="mn-MN"/>
        </w:rPr>
        <w:t xml:space="preserve">§ 11 S </w:t>
      </w:r>
      <w:r w:rsidR="00703BE5" w:rsidRPr="008305ED">
        <w:rPr>
          <w:lang w:val="mn-MN"/>
        </w:rPr>
        <w:t>2</w:t>
      </w:r>
      <w:r w:rsidR="00B71B0F" w:rsidRPr="008305ED">
        <w:rPr>
          <w:lang w:val="mn-MN"/>
        </w:rPr>
        <w:t xml:space="preserve"> TNRSG.</w:t>
      </w:r>
    </w:p>
  </w:footnote>
  <w:footnote w:id="5">
    <w:p w14:paraId="70CA0726" w14:textId="77777777" w:rsidR="00683548" w:rsidRPr="008305ED" w:rsidRDefault="00683548" w:rsidP="00683548">
      <w:pPr>
        <w:pStyle w:val="FootnoteText"/>
        <w:jc w:val="both"/>
        <w:rPr>
          <w:lang w:val="mn-MN"/>
        </w:rPr>
      </w:pPr>
      <w:r w:rsidRPr="008305ED">
        <w:rPr>
          <w:rStyle w:val="FootnoteReference"/>
        </w:rPr>
        <w:footnoteRef/>
      </w:r>
      <w:r w:rsidRPr="008305ED">
        <w:rPr>
          <w:lang w:val="mn-MN"/>
        </w:rPr>
        <w:t xml:space="preserve"> Тамхидалт болон тамхины хяналтын тухай хууль (1995)-ийн 11 дүгээр зүйлийн 11.4 дэх хэсгийн 1 дэх заалтад зааснаар </w:t>
      </w:r>
      <w:r>
        <w:rPr>
          <w:lang w:val="mn-MN"/>
        </w:rPr>
        <w:t xml:space="preserve">тамхины </w:t>
      </w:r>
      <w:r w:rsidRPr="008305ED">
        <w:rPr>
          <w:lang w:val="mn-MN"/>
        </w:rPr>
        <w:t>төрөлжсөн худалдаа эрхэлдэг дэлгүүр, зорилтод этгээдэд чиглэсэн зар сурталчилгаа явуулах нь хориглолтод хамаардаггүй байна.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BE76" w14:textId="2384C522" w:rsidR="0067693A" w:rsidRPr="0067693A" w:rsidRDefault="0067693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8B6DB0" wp14:editId="393F0E7B">
          <wp:simplePos x="0" y="0"/>
          <wp:positionH relativeFrom="column">
            <wp:posOffset>-280035</wp:posOffset>
          </wp:positionH>
          <wp:positionV relativeFrom="paragraph">
            <wp:posOffset>-428625</wp:posOffset>
          </wp:positionV>
          <wp:extent cx="80962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үүхийн академи 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93A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A8A29A" wp14:editId="2A2D9C5D">
              <wp:simplePos x="0" y="0"/>
              <wp:positionH relativeFrom="column">
                <wp:posOffset>577215</wp:posOffset>
              </wp:positionH>
              <wp:positionV relativeFrom="paragraph">
                <wp:posOffset>-161925</wp:posOffset>
              </wp:positionV>
              <wp:extent cx="5267325" cy="2667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7325" cy="2667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70FF9" w14:textId="5D44F107" w:rsidR="0067693A" w:rsidRPr="0067693A" w:rsidRDefault="0067693A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5A02B1">
                            <w:rPr>
                              <w:color w:val="FFFFFF" w:themeColor="background1"/>
                              <w:sz w:val="18"/>
                              <w:lang w:val="mn-MN"/>
                            </w:rPr>
                            <w:t>ШҮҮХИЙН СУРГАЛТ, СУДАЛГАА, МЭДЭЭЛЛИЙН АКАДЕМИ</w:t>
                          </w:r>
                          <w:r w:rsidRPr="005A02B1">
                            <w:rPr>
                              <w:color w:val="FFFFFF" w:themeColor="background1"/>
                              <w:sz w:val="18"/>
                            </w:rPr>
                            <w:t xml:space="preserve">             </w:t>
                          </w:r>
                          <w:r w:rsidR="005A02B1">
                            <w:rPr>
                              <w:color w:val="FFFFFF" w:themeColor="background1"/>
                              <w:sz w:val="20"/>
                            </w:rPr>
                            <w:t xml:space="preserve">           </w:t>
                          </w:r>
                          <w:r w:rsidRPr="005A02B1">
                            <w:rPr>
                              <w:color w:val="FFFFFF" w:themeColor="background1"/>
                              <w:sz w:val="20"/>
                            </w:rPr>
                            <w:t xml:space="preserve">  </w:t>
                          </w:r>
                          <w:r w:rsidRPr="0067693A">
                            <w:rPr>
                              <w:color w:val="FFFFFF" w:themeColor="background1"/>
                              <w:sz w:val="20"/>
                            </w:rPr>
                            <w:t>info@jtrii.gov.mn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8A2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.45pt;margin-top:-12.75pt;width:414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" fillcolor="#5b9bd5 [3208]" stroked="f">
              <v:textbox>
                <w:txbxContent>
                  <w:p w14:paraId="48570FF9" w14:textId="5D44F107" w:rsidR="0067693A" w:rsidRPr="0067693A" w:rsidRDefault="0067693A">
                    <w:pPr>
                      <w:rPr>
                        <w:color w:val="FFFFFF" w:themeColor="background1"/>
                        <w:sz w:val="20"/>
                      </w:rPr>
                    </w:pPr>
                    <w:r w:rsidRPr="005A02B1">
                      <w:rPr>
                        <w:color w:val="FFFFFF" w:themeColor="background1"/>
                        <w:sz w:val="18"/>
                        <w:lang w:val="mn-MN"/>
                      </w:rPr>
                      <w:t>ШҮҮХИЙН СУРГАЛТ, СУДАЛГАА, МЭДЭЭЛЛИЙН АКАДЕМИ</w:t>
                    </w:r>
                    <w:r w:rsidRPr="005A02B1">
                      <w:rPr>
                        <w:color w:val="FFFFFF" w:themeColor="background1"/>
                        <w:sz w:val="18"/>
                      </w:rPr>
                      <w:t xml:space="preserve">             </w:t>
                    </w:r>
                    <w:r w:rsidR="005A02B1">
                      <w:rPr>
                        <w:color w:val="FFFFFF" w:themeColor="background1"/>
                        <w:sz w:val="20"/>
                      </w:rPr>
                      <w:t xml:space="preserve">           </w:t>
                    </w:r>
                    <w:r w:rsidRPr="005A02B1">
                      <w:rPr>
                        <w:color w:val="FFFFFF" w:themeColor="background1"/>
                        <w:sz w:val="20"/>
                      </w:rPr>
                      <w:t xml:space="preserve">  </w:t>
                    </w:r>
                    <w:r w:rsidRPr="0067693A">
                      <w:rPr>
                        <w:color w:val="FFFFFF" w:themeColor="background1"/>
                        <w:sz w:val="20"/>
                      </w:rPr>
                      <w:t>info@jtrii.gov.mn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98178B3" w14:textId="77777777" w:rsidR="0067693A" w:rsidRPr="0067693A" w:rsidRDefault="00676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6A4"/>
    <w:multiLevelType w:val="hybridMultilevel"/>
    <w:tmpl w:val="9446BA68"/>
    <w:lvl w:ilvl="0" w:tplc="AE7C768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79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D6"/>
    <w:rsid w:val="00002A0B"/>
    <w:rsid w:val="00006BCD"/>
    <w:rsid w:val="00007779"/>
    <w:rsid w:val="00017899"/>
    <w:rsid w:val="0002056F"/>
    <w:rsid w:val="00023A9A"/>
    <w:rsid w:val="00033713"/>
    <w:rsid w:val="00036722"/>
    <w:rsid w:val="00037E10"/>
    <w:rsid w:val="00041C29"/>
    <w:rsid w:val="00045BAE"/>
    <w:rsid w:val="00046916"/>
    <w:rsid w:val="00046B8F"/>
    <w:rsid w:val="0006103A"/>
    <w:rsid w:val="00075DBE"/>
    <w:rsid w:val="000764E0"/>
    <w:rsid w:val="00081D87"/>
    <w:rsid w:val="00085CC5"/>
    <w:rsid w:val="000A7DB3"/>
    <w:rsid w:val="000C2C42"/>
    <w:rsid w:val="000C3266"/>
    <w:rsid w:val="000D0637"/>
    <w:rsid w:val="000D07D0"/>
    <w:rsid w:val="000D5B64"/>
    <w:rsid w:val="000F3170"/>
    <w:rsid w:val="000F741E"/>
    <w:rsid w:val="001009F9"/>
    <w:rsid w:val="0010501E"/>
    <w:rsid w:val="00110491"/>
    <w:rsid w:val="00120761"/>
    <w:rsid w:val="00120C69"/>
    <w:rsid w:val="00121898"/>
    <w:rsid w:val="00122245"/>
    <w:rsid w:val="00141A30"/>
    <w:rsid w:val="00141CD0"/>
    <w:rsid w:val="0014342C"/>
    <w:rsid w:val="00145479"/>
    <w:rsid w:val="00152E09"/>
    <w:rsid w:val="001536CE"/>
    <w:rsid w:val="001557B4"/>
    <w:rsid w:val="00185CA7"/>
    <w:rsid w:val="0018671F"/>
    <w:rsid w:val="00191349"/>
    <w:rsid w:val="001A127A"/>
    <w:rsid w:val="001B07CE"/>
    <w:rsid w:val="001D4831"/>
    <w:rsid w:val="001E48C4"/>
    <w:rsid w:val="001F02BE"/>
    <w:rsid w:val="001F4230"/>
    <w:rsid w:val="00206AD8"/>
    <w:rsid w:val="0021095A"/>
    <w:rsid w:val="0021529F"/>
    <w:rsid w:val="00217F15"/>
    <w:rsid w:val="00235BD4"/>
    <w:rsid w:val="0024337E"/>
    <w:rsid w:val="0025150C"/>
    <w:rsid w:val="0025387F"/>
    <w:rsid w:val="00257619"/>
    <w:rsid w:val="002603C6"/>
    <w:rsid w:val="00261721"/>
    <w:rsid w:val="0026592B"/>
    <w:rsid w:val="002746E7"/>
    <w:rsid w:val="00277C9B"/>
    <w:rsid w:val="00277FDC"/>
    <w:rsid w:val="00282174"/>
    <w:rsid w:val="00291FDE"/>
    <w:rsid w:val="00295630"/>
    <w:rsid w:val="002966C4"/>
    <w:rsid w:val="002A0B12"/>
    <w:rsid w:val="002A2C15"/>
    <w:rsid w:val="002C032C"/>
    <w:rsid w:val="002C2BC0"/>
    <w:rsid w:val="002C4866"/>
    <w:rsid w:val="002C563E"/>
    <w:rsid w:val="002D00C5"/>
    <w:rsid w:val="002D2706"/>
    <w:rsid w:val="002D7315"/>
    <w:rsid w:val="002E039A"/>
    <w:rsid w:val="002E76E4"/>
    <w:rsid w:val="002F2A4A"/>
    <w:rsid w:val="002F4EBB"/>
    <w:rsid w:val="00311B2D"/>
    <w:rsid w:val="003121FA"/>
    <w:rsid w:val="0031442A"/>
    <w:rsid w:val="00316F9B"/>
    <w:rsid w:val="00317302"/>
    <w:rsid w:val="00327575"/>
    <w:rsid w:val="003317BB"/>
    <w:rsid w:val="0033335C"/>
    <w:rsid w:val="00343709"/>
    <w:rsid w:val="00343CD2"/>
    <w:rsid w:val="003467DA"/>
    <w:rsid w:val="00346E79"/>
    <w:rsid w:val="0034795B"/>
    <w:rsid w:val="00355246"/>
    <w:rsid w:val="0036536A"/>
    <w:rsid w:val="00373ACC"/>
    <w:rsid w:val="0039620A"/>
    <w:rsid w:val="003B1E48"/>
    <w:rsid w:val="003B233B"/>
    <w:rsid w:val="003B5FB4"/>
    <w:rsid w:val="003C013B"/>
    <w:rsid w:val="003C1D28"/>
    <w:rsid w:val="003C275E"/>
    <w:rsid w:val="003C699C"/>
    <w:rsid w:val="003C7377"/>
    <w:rsid w:val="003E45C8"/>
    <w:rsid w:val="003E6648"/>
    <w:rsid w:val="00402B2D"/>
    <w:rsid w:val="00403503"/>
    <w:rsid w:val="00416DF8"/>
    <w:rsid w:val="00417C21"/>
    <w:rsid w:val="00422A0E"/>
    <w:rsid w:val="004405DA"/>
    <w:rsid w:val="004534AB"/>
    <w:rsid w:val="00453BAB"/>
    <w:rsid w:val="00462E5E"/>
    <w:rsid w:val="00467256"/>
    <w:rsid w:val="004809DC"/>
    <w:rsid w:val="00480DB3"/>
    <w:rsid w:val="0048180E"/>
    <w:rsid w:val="00482504"/>
    <w:rsid w:val="00487219"/>
    <w:rsid w:val="004A68D5"/>
    <w:rsid w:val="004A68E9"/>
    <w:rsid w:val="004A7267"/>
    <w:rsid w:val="004A79A7"/>
    <w:rsid w:val="004D7CA9"/>
    <w:rsid w:val="004F24AB"/>
    <w:rsid w:val="004F7D1A"/>
    <w:rsid w:val="00503A57"/>
    <w:rsid w:val="0051058F"/>
    <w:rsid w:val="00515835"/>
    <w:rsid w:val="00541EC4"/>
    <w:rsid w:val="00546F0C"/>
    <w:rsid w:val="00550B17"/>
    <w:rsid w:val="0056107E"/>
    <w:rsid w:val="00562C7E"/>
    <w:rsid w:val="00563E2C"/>
    <w:rsid w:val="005644C9"/>
    <w:rsid w:val="005725F3"/>
    <w:rsid w:val="005749AF"/>
    <w:rsid w:val="00584FD8"/>
    <w:rsid w:val="0059438F"/>
    <w:rsid w:val="005A02B1"/>
    <w:rsid w:val="005A1E57"/>
    <w:rsid w:val="005A24CC"/>
    <w:rsid w:val="005A7D71"/>
    <w:rsid w:val="005B2682"/>
    <w:rsid w:val="005B2F89"/>
    <w:rsid w:val="005B72A1"/>
    <w:rsid w:val="005C56D2"/>
    <w:rsid w:val="005D1679"/>
    <w:rsid w:val="005D5797"/>
    <w:rsid w:val="005E3812"/>
    <w:rsid w:val="005E59E1"/>
    <w:rsid w:val="005E5E81"/>
    <w:rsid w:val="00613198"/>
    <w:rsid w:val="00613D16"/>
    <w:rsid w:val="00614D60"/>
    <w:rsid w:val="00616D48"/>
    <w:rsid w:val="006535EB"/>
    <w:rsid w:val="0066133F"/>
    <w:rsid w:val="00663536"/>
    <w:rsid w:val="006645E5"/>
    <w:rsid w:val="0067693A"/>
    <w:rsid w:val="00680748"/>
    <w:rsid w:val="006827A5"/>
    <w:rsid w:val="00683548"/>
    <w:rsid w:val="00683752"/>
    <w:rsid w:val="00684F80"/>
    <w:rsid w:val="0068583B"/>
    <w:rsid w:val="006A6ED2"/>
    <w:rsid w:val="006C3E79"/>
    <w:rsid w:val="006E6465"/>
    <w:rsid w:val="006F283D"/>
    <w:rsid w:val="006F5200"/>
    <w:rsid w:val="00700710"/>
    <w:rsid w:val="00703BE5"/>
    <w:rsid w:val="0070756F"/>
    <w:rsid w:val="00711034"/>
    <w:rsid w:val="00714AD6"/>
    <w:rsid w:val="00715476"/>
    <w:rsid w:val="00717CDC"/>
    <w:rsid w:val="00723D93"/>
    <w:rsid w:val="00727469"/>
    <w:rsid w:val="00733245"/>
    <w:rsid w:val="00735577"/>
    <w:rsid w:val="00737DD9"/>
    <w:rsid w:val="0074154D"/>
    <w:rsid w:val="0075367D"/>
    <w:rsid w:val="007543D9"/>
    <w:rsid w:val="0076164F"/>
    <w:rsid w:val="00763A79"/>
    <w:rsid w:val="00765FA4"/>
    <w:rsid w:val="00774DE4"/>
    <w:rsid w:val="0078023D"/>
    <w:rsid w:val="007867D3"/>
    <w:rsid w:val="007A5F43"/>
    <w:rsid w:val="007B72D7"/>
    <w:rsid w:val="007C0B17"/>
    <w:rsid w:val="007D2B88"/>
    <w:rsid w:val="007D5780"/>
    <w:rsid w:val="007D57CD"/>
    <w:rsid w:val="007D6166"/>
    <w:rsid w:val="007F0DDD"/>
    <w:rsid w:val="007F66FE"/>
    <w:rsid w:val="00802BB8"/>
    <w:rsid w:val="00810B44"/>
    <w:rsid w:val="0081405C"/>
    <w:rsid w:val="00822C3F"/>
    <w:rsid w:val="00824542"/>
    <w:rsid w:val="008305ED"/>
    <w:rsid w:val="00830921"/>
    <w:rsid w:val="00835E49"/>
    <w:rsid w:val="00847DEC"/>
    <w:rsid w:val="00856EC2"/>
    <w:rsid w:val="0087687E"/>
    <w:rsid w:val="00877104"/>
    <w:rsid w:val="008800B2"/>
    <w:rsid w:val="0088250F"/>
    <w:rsid w:val="00884607"/>
    <w:rsid w:val="008940A2"/>
    <w:rsid w:val="00896EF3"/>
    <w:rsid w:val="008A5A95"/>
    <w:rsid w:val="008C02E9"/>
    <w:rsid w:val="008C5559"/>
    <w:rsid w:val="008D0211"/>
    <w:rsid w:val="008D7491"/>
    <w:rsid w:val="008E03DB"/>
    <w:rsid w:val="008E2923"/>
    <w:rsid w:val="008E30EA"/>
    <w:rsid w:val="008E6B66"/>
    <w:rsid w:val="008E7B6B"/>
    <w:rsid w:val="008E7C81"/>
    <w:rsid w:val="008F1551"/>
    <w:rsid w:val="00900550"/>
    <w:rsid w:val="00915619"/>
    <w:rsid w:val="00917C3E"/>
    <w:rsid w:val="00922F1A"/>
    <w:rsid w:val="00941560"/>
    <w:rsid w:val="00943665"/>
    <w:rsid w:val="00954CF2"/>
    <w:rsid w:val="00956487"/>
    <w:rsid w:val="00957E93"/>
    <w:rsid w:val="009602AE"/>
    <w:rsid w:val="00961F0B"/>
    <w:rsid w:val="0096220D"/>
    <w:rsid w:val="00964D98"/>
    <w:rsid w:val="00991B62"/>
    <w:rsid w:val="00995394"/>
    <w:rsid w:val="0099736C"/>
    <w:rsid w:val="009A658C"/>
    <w:rsid w:val="009C0C2D"/>
    <w:rsid w:val="009C13D6"/>
    <w:rsid w:val="009C6CF8"/>
    <w:rsid w:val="009E0E03"/>
    <w:rsid w:val="009E7B2C"/>
    <w:rsid w:val="009F1794"/>
    <w:rsid w:val="00A00592"/>
    <w:rsid w:val="00A02757"/>
    <w:rsid w:val="00A046F1"/>
    <w:rsid w:val="00A13B61"/>
    <w:rsid w:val="00A13EC1"/>
    <w:rsid w:val="00A151C6"/>
    <w:rsid w:val="00A23D95"/>
    <w:rsid w:val="00A2421C"/>
    <w:rsid w:val="00A243A7"/>
    <w:rsid w:val="00A27CC3"/>
    <w:rsid w:val="00A3259C"/>
    <w:rsid w:val="00A51F55"/>
    <w:rsid w:val="00A5580D"/>
    <w:rsid w:val="00A6190E"/>
    <w:rsid w:val="00A66799"/>
    <w:rsid w:val="00A733EF"/>
    <w:rsid w:val="00A76A93"/>
    <w:rsid w:val="00A81764"/>
    <w:rsid w:val="00A83C02"/>
    <w:rsid w:val="00A975A2"/>
    <w:rsid w:val="00AA31BA"/>
    <w:rsid w:val="00AB0E8D"/>
    <w:rsid w:val="00AB3EFC"/>
    <w:rsid w:val="00AB4F26"/>
    <w:rsid w:val="00AC7997"/>
    <w:rsid w:val="00AD0575"/>
    <w:rsid w:val="00AD3D28"/>
    <w:rsid w:val="00AE6C57"/>
    <w:rsid w:val="00AF27CF"/>
    <w:rsid w:val="00AF7A3F"/>
    <w:rsid w:val="00B01CA9"/>
    <w:rsid w:val="00B12E36"/>
    <w:rsid w:val="00B1420E"/>
    <w:rsid w:val="00B14945"/>
    <w:rsid w:val="00B264C2"/>
    <w:rsid w:val="00B3302D"/>
    <w:rsid w:val="00B33883"/>
    <w:rsid w:val="00B3417C"/>
    <w:rsid w:val="00B34651"/>
    <w:rsid w:val="00B4176B"/>
    <w:rsid w:val="00B422AC"/>
    <w:rsid w:val="00B51E10"/>
    <w:rsid w:val="00B536B1"/>
    <w:rsid w:val="00B62B5C"/>
    <w:rsid w:val="00B64735"/>
    <w:rsid w:val="00B71B0F"/>
    <w:rsid w:val="00B73517"/>
    <w:rsid w:val="00B9193B"/>
    <w:rsid w:val="00B9552C"/>
    <w:rsid w:val="00B96839"/>
    <w:rsid w:val="00BA2C74"/>
    <w:rsid w:val="00BA6DEF"/>
    <w:rsid w:val="00BA7808"/>
    <w:rsid w:val="00BB4419"/>
    <w:rsid w:val="00BC1CD3"/>
    <w:rsid w:val="00BD0506"/>
    <w:rsid w:val="00BD0614"/>
    <w:rsid w:val="00BE0C4C"/>
    <w:rsid w:val="00BE1DA7"/>
    <w:rsid w:val="00BE24E8"/>
    <w:rsid w:val="00C10946"/>
    <w:rsid w:val="00C13B72"/>
    <w:rsid w:val="00C21F9B"/>
    <w:rsid w:val="00C24771"/>
    <w:rsid w:val="00C313A4"/>
    <w:rsid w:val="00C47870"/>
    <w:rsid w:val="00C51787"/>
    <w:rsid w:val="00C63C34"/>
    <w:rsid w:val="00C64E3A"/>
    <w:rsid w:val="00C85098"/>
    <w:rsid w:val="00C90629"/>
    <w:rsid w:val="00CB333A"/>
    <w:rsid w:val="00CB74D7"/>
    <w:rsid w:val="00CC0911"/>
    <w:rsid w:val="00CC3E65"/>
    <w:rsid w:val="00CC7713"/>
    <w:rsid w:val="00CD118A"/>
    <w:rsid w:val="00CD2476"/>
    <w:rsid w:val="00CE0D21"/>
    <w:rsid w:val="00CE6FC4"/>
    <w:rsid w:val="00D018C7"/>
    <w:rsid w:val="00D028BD"/>
    <w:rsid w:val="00D109F7"/>
    <w:rsid w:val="00D131E3"/>
    <w:rsid w:val="00D260B9"/>
    <w:rsid w:val="00D26FE4"/>
    <w:rsid w:val="00D30ED5"/>
    <w:rsid w:val="00D36DB3"/>
    <w:rsid w:val="00D40289"/>
    <w:rsid w:val="00D46607"/>
    <w:rsid w:val="00D50E46"/>
    <w:rsid w:val="00D52C64"/>
    <w:rsid w:val="00D543BC"/>
    <w:rsid w:val="00D56B25"/>
    <w:rsid w:val="00D67398"/>
    <w:rsid w:val="00D7483A"/>
    <w:rsid w:val="00DA594E"/>
    <w:rsid w:val="00DC2F5F"/>
    <w:rsid w:val="00DC69BE"/>
    <w:rsid w:val="00DC6B98"/>
    <w:rsid w:val="00DC7C75"/>
    <w:rsid w:val="00DD0010"/>
    <w:rsid w:val="00DD47EB"/>
    <w:rsid w:val="00DE63F1"/>
    <w:rsid w:val="00DF049F"/>
    <w:rsid w:val="00DF1B8E"/>
    <w:rsid w:val="00E00599"/>
    <w:rsid w:val="00E03129"/>
    <w:rsid w:val="00E04DCF"/>
    <w:rsid w:val="00E05A79"/>
    <w:rsid w:val="00E067CD"/>
    <w:rsid w:val="00E1255B"/>
    <w:rsid w:val="00E261D7"/>
    <w:rsid w:val="00E40D03"/>
    <w:rsid w:val="00E555FA"/>
    <w:rsid w:val="00E57931"/>
    <w:rsid w:val="00E60125"/>
    <w:rsid w:val="00E627CE"/>
    <w:rsid w:val="00E71D59"/>
    <w:rsid w:val="00E745C0"/>
    <w:rsid w:val="00E84C00"/>
    <w:rsid w:val="00E9517D"/>
    <w:rsid w:val="00EA101A"/>
    <w:rsid w:val="00EA221A"/>
    <w:rsid w:val="00EA7578"/>
    <w:rsid w:val="00EB7A9B"/>
    <w:rsid w:val="00EE624A"/>
    <w:rsid w:val="00EF1609"/>
    <w:rsid w:val="00EF3520"/>
    <w:rsid w:val="00F00280"/>
    <w:rsid w:val="00F12B3C"/>
    <w:rsid w:val="00F143DE"/>
    <w:rsid w:val="00F150A5"/>
    <w:rsid w:val="00F201F6"/>
    <w:rsid w:val="00F20AB8"/>
    <w:rsid w:val="00F23FFF"/>
    <w:rsid w:val="00F250E9"/>
    <w:rsid w:val="00F26FDB"/>
    <w:rsid w:val="00F272E4"/>
    <w:rsid w:val="00F3388F"/>
    <w:rsid w:val="00F52F23"/>
    <w:rsid w:val="00F5745F"/>
    <w:rsid w:val="00F65188"/>
    <w:rsid w:val="00F702B6"/>
    <w:rsid w:val="00F718CC"/>
    <w:rsid w:val="00F75AB0"/>
    <w:rsid w:val="00F826A1"/>
    <w:rsid w:val="00F84008"/>
    <w:rsid w:val="00F927BF"/>
    <w:rsid w:val="00F94910"/>
    <w:rsid w:val="00F94CEC"/>
    <w:rsid w:val="00F96E45"/>
    <w:rsid w:val="00FA0133"/>
    <w:rsid w:val="00FA7BCF"/>
    <w:rsid w:val="00FB34D1"/>
    <w:rsid w:val="00FB6456"/>
    <w:rsid w:val="00FC1EFE"/>
    <w:rsid w:val="00FD0462"/>
    <w:rsid w:val="00FE532B"/>
    <w:rsid w:val="00FE648C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5416E"/>
  <w15:chartTrackingRefBased/>
  <w15:docId w15:val="{AE368664-C9D4-4F99-9D83-F33DE027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B88"/>
    <w:pPr>
      <w:widowControl w:val="0"/>
      <w:autoSpaceDE w:val="0"/>
      <w:autoSpaceDN w:val="0"/>
      <w:spacing w:before="1"/>
      <w:ind w:left="300"/>
      <w:jc w:val="center"/>
      <w:outlineLvl w:val="0"/>
    </w:pPr>
    <w:rPr>
      <w:rFonts w:eastAsia="Arial"/>
      <w:b/>
      <w:bCs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9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93A"/>
  </w:style>
  <w:style w:type="paragraph" w:styleId="Footer">
    <w:name w:val="footer"/>
    <w:basedOn w:val="Normal"/>
    <w:link w:val="FooterChar"/>
    <w:uiPriority w:val="99"/>
    <w:unhideWhenUsed/>
    <w:rsid w:val="006769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93A"/>
  </w:style>
  <w:style w:type="character" w:customStyle="1" w:styleId="Heading1Char">
    <w:name w:val="Heading 1 Char"/>
    <w:basedOn w:val="DefaultParagraphFont"/>
    <w:link w:val="Heading1"/>
    <w:uiPriority w:val="9"/>
    <w:rsid w:val="007D2B88"/>
    <w:rPr>
      <w:rFonts w:eastAsia="Arial"/>
      <w:b/>
      <w:bCs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7D2B88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D2B88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7D2B88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1"/>
    <w:rsid w:val="007D2B88"/>
    <w:rPr>
      <w:rFonts w:ascii="Microsoft Sans Serif" w:eastAsia="Microsoft Sans Serif" w:hAnsi="Microsoft Sans Serif" w:cs="Microsoft Sans Serif"/>
      <w:sz w:val="24"/>
      <w:szCs w:val="24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B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2B8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D2B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5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is.bka.gv.at/GeltendeFassung.wxe?Abfrage=Bundesnormen&amp;Gesetzesnummer=10010907" TargetMode="External"/><Relationship Id="rId1" Type="http://schemas.openxmlformats.org/officeDocument/2006/relationships/hyperlink" Target="https://www.vwgh.gv.at/rechtsprechung/aktuelle_entscheidungen/2021/ra_2018110143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2D62-9E80-46D4-BE34-05C94A9B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Tenkhluun  Otgontuya</dc:creator>
  <cp:keywords/>
  <dc:description/>
  <cp:lastModifiedBy>Anuurad  Rentsendagva</cp:lastModifiedBy>
  <cp:revision>11</cp:revision>
  <dcterms:created xsi:type="dcterms:W3CDTF">2024-07-05T03:33:00Z</dcterms:created>
  <dcterms:modified xsi:type="dcterms:W3CDTF">2025-05-14T04:41:00Z</dcterms:modified>
</cp:coreProperties>
</file>